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
      </w:pPr>
    </w:p>
    <w:p>
      <w:pPr>
        <w:spacing w:after="100" w:before="100"/>
      </w:pPr>
    </w:p>
    <w:p>
      <w:pPr>
        <w:spacing w:after="100" w:before="100"/>
      </w:pPr>
    </w:p>
    <w:p>
      <w:pPr>
        <w:spacing w:after="100" w:before="100"/>
      </w:pPr>
    </w:p>
    <w:p>
      <w:pPr>
        <w:spacing w:after="100" w:before="100"/>
      </w:pPr>
    </w:p>
    <w:p>
      <w:pPr>
        <w:spacing w:after="100" w:before="100"/>
      </w:pPr>
    </w:p>
    <w:p>
      <w:pPr>
        <w:spacing w:after="200"/>
        <w:jc w:val="center"/>
      </w:pPr>
      <w:r>
        <w:rPr>
          <w:rFonts w:ascii="Arial" w:cs="Arial" w:eastAsia="Arial" w:hAnsi="Arial"/>
          <w:b/>
          <w:bCs/>
          <w:color w:val="1B2A4A"/>
          <w:sz w:val="56"/>
          <w:szCs w:val="56"/>
        </w:rPr>
        <w:t xml:space="preserve">THE ANDERSON BENCH</w:t>
      </w:r>
    </w:p>
    <w:p>
      <w:pPr>
        <w:spacing w:after="100"/>
        <w:jc w:val="center"/>
      </w:pPr>
      <w:r>
        <w:rPr>
          <w:rFonts w:ascii="Arial" w:cs="Arial" w:eastAsia="Arial" w:hAnsi="Arial"/>
          <w:color w:val="C0392B"/>
          <w:sz w:val="36"/>
          <w:szCs w:val="36"/>
        </w:rPr>
        <w:t xml:space="preserve">Ten Cases, Ten Principles</w:t>
      </w:r>
    </w:p>
    <w:p>
      <w:pPr>
        <w:spacing w:after="400"/>
        <w:jc w:val="center"/>
      </w:pPr>
      <w:r>
        <w:rPr>
          <w:rFonts w:ascii="Arial" w:cs="Arial" w:eastAsia="Arial" w:hAnsi="Arial"/>
          <w:color w:val="4A4A4A"/>
          <w:sz w:val="28"/>
          <w:szCs w:val="28"/>
        </w:rPr>
        <w:t xml:space="preserve">A Sentencing Philosophy for BUILD UK</w:t>
      </w:r>
    </w:p>
    <w:p>
      <w:pPr>
        <w:spacing w:after="100" w:before="100"/>
      </w:pPr>
    </w:p>
    <w:p>
      <w:pPr>
        <w:pBdr>
          <w:top w:val="single" w:color="1B2A4A" w:sz="2" w:space="8"/>
          <w:bottom w:val="single" w:color="1B2A4A" w:sz="2" w:space="8"/>
        </w:pBdr>
        <w:spacing w:after="200" w:before="200"/>
        <w:jc w:val="center"/>
      </w:pPr>
      <w:r>
        <w:rPr>
          <w:rFonts w:ascii="Arial" w:cs="Arial" w:eastAsia="Arial" w:hAnsi="Arial"/>
          <w:b/>
          <w:bCs/>
          <w:color w:val="1B2A4A"/>
          <w:sz w:val="30"/>
          <w:szCs w:val="30"/>
        </w:rPr>
        <w:t xml:space="preserve">Person  •  Cause  •  Action  •  Restore</w:t>
      </w:r>
    </w:p>
    <w:p>
      <w:pPr>
        <w:spacing w:after="100" w:before="100"/>
      </w:pPr>
    </w:p>
    <w:p>
      <w:pPr>
        <w:spacing w:after="100" w:before="100"/>
      </w:pPr>
    </w:p>
    <w:p>
      <w:pPr>
        <w:spacing w:after="100" w:before="100"/>
      </w:pPr>
    </w:p>
    <w:p>
      <w:pPr>
        <w:spacing w:after="100" w:before="100"/>
      </w:pPr>
    </w:p>
    <w:p>
      <w:pPr>
        <w:spacing w:after="100"/>
        <w:jc w:val="center"/>
      </w:pPr>
      <w:r>
        <w:rPr>
          <w:rFonts w:ascii="Arial" w:cs="Arial" w:eastAsia="Arial" w:hAnsi="Arial"/>
          <w:color w:val="C0392B"/>
          <w:sz w:val="24"/>
          <w:szCs w:val="24"/>
        </w:rPr>
        <w:t xml:space="preserve">builduk.club</w:t>
      </w:r>
    </w:p>
    <w:p>
      <w:pPr>
        <w:jc w:val="center"/>
      </w:pPr>
      <w:r>
        <w:rPr>
          <w:rFonts w:ascii="Arial" w:cs="Arial" w:eastAsia="Arial" w:hAnsi="Arial"/>
          <w:color w:val="4A4A4A"/>
          <w:sz w:val="22"/>
          <w:szCs w:val="22"/>
        </w:rPr>
        <w:t xml:space="preserve">June 2026</w:t>
      </w:r>
    </w:p>
    <w:p>
      <w:pPr>
        <w:sectPr>
          <w:pgSz w:w="11906" w:h="16838" w:orient="portrait"/>
          <w:pgMar w:top="1440" w:right="1440" w:bottom="1440" w:left="1440" w:header="708" w:footer="708" w:gutter="0"/>
          <w:pgNumType/>
          <w:docGrid w:linePitch="360"/>
        </w:sectPr>
      </w:pPr>
    </w:p>
    <w:p>
      <w:pPr>
        <w:pStyle w:val="Heading1"/>
        <w:spacing w:after="200" w:before="400"/>
      </w:pPr>
      <w:r>
        <w:rPr>
          <w:rFonts w:ascii="Arial" w:cs="Arial" w:eastAsia="Arial" w:hAnsi="Arial"/>
          <w:b/>
          <w:bCs/>
          <w:color w:val="1B2A4A"/>
          <w:sz w:val="32"/>
          <w:szCs w:val="32"/>
        </w:rPr>
        <w:t xml:space="preserve">Introduction</w:t>
      </w:r>
    </w:p>
    <w:p>
      <w:pPr>
        <w:spacing w:after="80" w:before="80" w:line="320"/>
        <w:jc w:val="left"/>
      </w:pPr>
      <w:r>
        <w:rPr>
          <w:rFonts w:ascii="Arial" w:cs="Arial" w:eastAsia="Arial" w:hAnsi="Arial"/>
          <w:b w:val="false"/>
          <w:bCs w:val="false"/>
          <w:i w:val="false"/>
          <w:iCs w:val="false"/>
          <w:color w:val="4A4A4A"/>
          <w:sz w:val="22"/>
          <w:szCs w:val="22"/>
        </w:rPr>
        <w:t xml:space="preserve">The Anderson Bench is not a theoretical document. It is the product of eleven simulated criminal cases, heard and sentenced under a single judicial philosophy. Each case was designed to test a different pressure point of the justice system — emotional manipulation, public sympathy, institutional failure, corporate greed, compassion, and the boundaries of lawful protest.</w:t>
      </w:r>
    </w:p>
    <w:p>
      <w:pPr>
        <w:spacing w:after="80" w:before="80" w:line="320"/>
        <w:jc w:val="left"/>
      </w:pPr>
      <w:r>
        <w:rPr>
          <w:rFonts w:ascii="Arial" w:cs="Arial" w:eastAsia="Arial" w:hAnsi="Arial"/>
          <w:b w:val="false"/>
          <w:bCs w:val="false"/>
          <w:i w:val="false"/>
          <w:iCs w:val="false"/>
          <w:color w:val="4A4A4A"/>
          <w:sz w:val="22"/>
          <w:szCs w:val="22"/>
        </w:rPr>
        <w:t xml:space="preserve">The results are a coherent sentencing framework built on two core methodologies and ten guiding principles. Together they replace standardised, cookie-cutter sentencing with functional sentencing — where every judgment must either repair harm or prevent future harm. A prison cell is one tool. It is not the only tool, and it is not always the right tool.</w:t>
      </w:r>
    </w:p>
    <w:p>
      <w:pPr>
        <w:spacing w:after="100" w:before="100"/>
      </w:pPr>
    </w:p>
    <w:p>
      <w:pPr>
        <w:pStyle w:val="Heading2"/>
        <w:spacing w:after="150" w:before="300"/>
      </w:pPr>
      <w:r>
        <w:rPr>
          <w:rFonts w:ascii="Arial" w:cs="Arial" w:eastAsia="Arial" w:hAnsi="Arial"/>
          <w:b/>
          <w:bCs/>
          <w:color w:val="1B2A4A"/>
          <w:sz w:val="26"/>
          <w:szCs w:val="26"/>
        </w:rPr>
        <w:t xml:space="preserve">The Two Frameworks</w:t>
      </w:r>
    </w:p>
    <w:p>
      <w:pPr>
        <w:spacing w:after="100" w:before="200"/>
      </w:pPr>
      <w:r>
        <w:rPr>
          <w:rFonts w:ascii="Arial" w:cs="Arial" w:eastAsia="Arial" w:hAnsi="Arial"/>
          <w:b/>
          <w:bCs/>
          <w:color w:val="C0392B"/>
          <w:sz w:val="22"/>
          <w:szCs w:val="22"/>
        </w:rPr>
        <w:t xml:space="preserve">PCAR — Person / Cause / Action / Restore</w:t>
      </w:r>
    </w:p>
    <w:p>
      <w:pPr>
        <w:spacing w:after="80" w:before="80" w:line="320"/>
        <w:jc w:val="left"/>
      </w:pPr>
      <w:r>
        <w:rPr>
          <w:rFonts w:ascii="Arial" w:cs="Arial" w:eastAsia="Arial" w:hAnsi="Arial"/>
          <w:b w:val="false"/>
          <w:bCs w:val="false"/>
          <w:i w:val="false"/>
          <w:iCs w:val="false"/>
          <w:color w:val="4A4A4A"/>
          <w:sz w:val="22"/>
          <w:szCs w:val="22"/>
        </w:rPr>
        <w:t xml:space="preserve">For personal criminal cases. PCAR asks four questions of every defendant:</w:t>
      </w:r>
    </w:p>
    <w:p>
      <w:pPr>
        <w:spacing w:after="80" w:before="80" w:line="320"/>
        <w:jc w:val="left"/>
      </w:pPr>
      <w:r>
        <w:rPr>
          <w:rFonts w:ascii="Arial" w:cs="Arial" w:eastAsia="Arial" w:hAnsi="Arial"/>
          <w:b/>
          <w:bCs/>
          <w:color w:val="4A4A4A"/>
          <w:sz w:val="22"/>
          <w:szCs w:val="22"/>
        </w:rPr>
        <w:t xml:space="preserve">Person: </w:t>
      </w:r>
      <w:r>
        <w:rPr>
          <w:rFonts w:ascii="Arial" w:cs="Arial" w:eastAsia="Arial" w:hAnsi="Arial"/>
          <w:color w:val="4A4A4A"/>
          <w:sz w:val="22"/>
          <w:szCs w:val="22"/>
        </w:rPr>
        <w:t xml:space="preserve">Who is standing in front of the court? Their history, character, circumstances, and capacity.</w:t>
      </w:r>
    </w:p>
    <w:p>
      <w:pPr>
        <w:spacing w:after="80" w:before="80" w:line="320"/>
        <w:jc w:val="left"/>
      </w:pPr>
      <w:r>
        <w:rPr>
          <w:rFonts w:ascii="Arial" w:cs="Arial" w:eastAsia="Arial" w:hAnsi="Arial"/>
          <w:b/>
          <w:bCs/>
          <w:color w:val="4A4A4A"/>
          <w:sz w:val="22"/>
          <w:szCs w:val="22"/>
        </w:rPr>
        <w:t xml:space="preserve">Cause: </w:t>
      </w:r>
      <w:r>
        <w:rPr>
          <w:rFonts w:ascii="Arial" w:cs="Arial" w:eastAsia="Arial" w:hAnsi="Arial"/>
          <w:color w:val="4A4A4A"/>
          <w:sz w:val="22"/>
          <w:szCs w:val="22"/>
        </w:rPr>
        <w:t xml:space="preserve">What brought them here? What systemic, personal, or situational factors led to this moment?</w:t>
      </w:r>
    </w:p>
    <w:p>
      <w:pPr>
        <w:spacing w:after="80" w:before="80" w:line="320"/>
        <w:jc w:val="left"/>
      </w:pPr>
      <w:r>
        <w:rPr>
          <w:rFonts w:ascii="Arial" w:cs="Arial" w:eastAsia="Arial" w:hAnsi="Arial"/>
          <w:b/>
          <w:bCs/>
          <w:color w:val="4A4A4A"/>
          <w:sz w:val="22"/>
          <w:szCs w:val="22"/>
        </w:rPr>
        <w:t xml:space="preserve">Action: </w:t>
      </w:r>
      <w:r>
        <w:rPr>
          <w:rFonts w:ascii="Arial" w:cs="Arial" w:eastAsia="Arial" w:hAnsi="Arial"/>
          <w:color w:val="4A4A4A"/>
          <w:sz w:val="22"/>
          <w:szCs w:val="22"/>
        </w:rPr>
        <w:t xml:space="preserve">What did they actually do? Not what was done around them, not what they might have done — what they did.</w:t>
      </w:r>
    </w:p>
    <w:p>
      <w:pPr>
        <w:spacing w:after="80" w:before="80" w:line="320"/>
        <w:jc w:val="left"/>
      </w:pPr>
      <w:r>
        <w:rPr>
          <w:rFonts w:ascii="Arial" w:cs="Arial" w:eastAsia="Arial" w:hAnsi="Arial"/>
          <w:b/>
          <w:bCs/>
          <w:color w:val="4A4A4A"/>
          <w:sz w:val="22"/>
          <w:szCs w:val="22"/>
        </w:rPr>
        <w:t xml:space="preserve">Restore: </w:t>
      </w:r>
      <w:r>
        <w:rPr>
          <w:rFonts w:ascii="Arial" w:cs="Arial" w:eastAsia="Arial" w:hAnsi="Arial"/>
          <w:color w:val="4A4A4A"/>
          <w:sz w:val="22"/>
          <w:szCs w:val="22"/>
        </w:rPr>
        <w:t xml:space="preserve">How does this sentence repair something or prevent something? If it does neither, it is the wrong sentence.</w:t>
      </w:r>
    </w:p>
    <w:p>
      <w:pPr>
        <w:spacing w:after="100" w:before="100"/>
      </w:pPr>
    </w:p>
    <w:p>
      <w:pPr>
        <w:spacing w:after="100" w:before="200"/>
      </w:pPr>
      <w:r>
        <w:rPr>
          <w:rFonts w:ascii="Arial" w:cs="Arial" w:eastAsia="Arial" w:hAnsi="Arial"/>
          <w:b/>
          <w:bCs/>
          <w:color w:val="C0392B"/>
          <w:sz w:val="22"/>
          <w:szCs w:val="22"/>
        </w:rPr>
        <w:t xml:space="preserve">CHER — Cause / Harm / Effect / Restitution</w:t>
      </w:r>
    </w:p>
    <w:p>
      <w:pPr>
        <w:spacing w:after="80" w:before="80" w:line="320"/>
        <w:jc w:val="left"/>
      </w:pPr>
      <w:r>
        <w:rPr>
          <w:rFonts w:ascii="Arial" w:cs="Arial" w:eastAsia="Arial" w:hAnsi="Arial"/>
          <w:b w:val="false"/>
          <w:bCs w:val="false"/>
          <w:i w:val="false"/>
          <w:iCs w:val="false"/>
          <w:color w:val="4A4A4A"/>
          <w:sz w:val="22"/>
          <w:szCs w:val="22"/>
        </w:rPr>
        <w:t xml:space="preserve">For corporate and environmental harm cases. CHER centres the damage rather than the individual:</w:t>
      </w:r>
    </w:p>
    <w:p>
      <w:pPr>
        <w:spacing w:after="80" w:before="80" w:line="320"/>
        <w:jc w:val="left"/>
      </w:pPr>
      <w:r>
        <w:rPr>
          <w:rFonts w:ascii="Arial" w:cs="Arial" w:eastAsia="Arial" w:hAnsi="Arial"/>
          <w:b/>
          <w:bCs/>
          <w:color w:val="4A4A4A"/>
          <w:sz w:val="22"/>
          <w:szCs w:val="22"/>
        </w:rPr>
        <w:t xml:space="preserve">Cause: </w:t>
      </w:r>
      <w:r>
        <w:rPr>
          <w:rFonts w:ascii="Arial" w:cs="Arial" w:eastAsia="Arial" w:hAnsi="Arial"/>
          <w:color w:val="4A4A4A"/>
          <w:sz w:val="22"/>
          <w:szCs w:val="22"/>
        </w:rPr>
        <w:t xml:space="preserve">What decision, incentive, or governance failure created the harm?</w:t>
      </w:r>
    </w:p>
    <w:p>
      <w:pPr>
        <w:spacing w:after="80" w:before="80" w:line="320"/>
        <w:jc w:val="left"/>
      </w:pPr>
      <w:r>
        <w:rPr>
          <w:rFonts w:ascii="Arial" w:cs="Arial" w:eastAsia="Arial" w:hAnsi="Arial"/>
          <w:b/>
          <w:bCs/>
          <w:color w:val="4A4A4A"/>
          <w:sz w:val="22"/>
          <w:szCs w:val="22"/>
        </w:rPr>
        <w:t xml:space="preserve">Harm: </w:t>
      </w:r>
      <w:r>
        <w:rPr>
          <w:rFonts w:ascii="Arial" w:cs="Arial" w:eastAsia="Arial" w:hAnsi="Arial"/>
          <w:color w:val="4A4A4A"/>
          <w:sz w:val="22"/>
          <w:szCs w:val="22"/>
        </w:rPr>
        <w:t xml:space="preserve">Who was injured, killed, poisoned, displaced, exploited, or defrauded?</w:t>
      </w:r>
    </w:p>
    <w:p>
      <w:pPr>
        <w:spacing w:after="80" w:before="80" w:line="320"/>
        <w:jc w:val="left"/>
      </w:pPr>
      <w:r>
        <w:rPr>
          <w:rFonts w:ascii="Arial" w:cs="Arial" w:eastAsia="Arial" w:hAnsi="Arial"/>
          <w:b/>
          <w:bCs/>
          <w:color w:val="4A4A4A"/>
          <w:sz w:val="22"/>
          <w:szCs w:val="22"/>
        </w:rPr>
        <w:t xml:space="preserve">Effect: </w:t>
      </w:r>
      <w:r>
        <w:rPr>
          <w:rFonts w:ascii="Arial" w:cs="Arial" w:eastAsia="Arial" w:hAnsi="Arial"/>
          <w:color w:val="4A4A4A"/>
          <w:sz w:val="22"/>
          <w:szCs w:val="22"/>
        </w:rPr>
        <w:t xml:space="preserve">What ongoing damage remains after the crime itself?</w:t>
      </w:r>
    </w:p>
    <w:p>
      <w:pPr>
        <w:spacing w:after="80" w:before="80" w:line="320"/>
        <w:jc w:val="left"/>
      </w:pPr>
      <w:r>
        <w:rPr>
          <w:rFonts w:ascii="Arial" w:cs="Arial" w:eastAsia="Arial" w:hAnsi="Arial"/>
          <w:b/>
          <w:bCs/>
          <w:color w:val="4A4A4A"/>
          <w:sz w:val="22"/>
          <w:szCs w:val="22"/>
        </w:rPr>
        <w:t xml:space="preserve">Restitution: </w:t>
      </w:r>
      <w:r>
        <w:rPr>
          <w:rFonts w:ascii="Arial" w:cs="Arial" w:eastAsia="Arial" w:hAnsi="Arial"/>
          <w:color w:val="4A4A4A"/>
          <w:sz w:val="22"/>
          <w:szCs w:val="22"/>
        </w:rPr>
        <w:t xml:space="preserve">What must be repaired, funded, removed, rebuilt, or permanently changed?</w:t>
      </w:r>
    </w:p>
    <w:p>
      <w:pPr>
        <w:spacing w:after="100" w:before="100"/>
      </w:pPr>
    </w:p>
    <w:p>
      <w:pPr>
        <w:pStyle w:val="Heading2"/>
        <w:spacing w:after="150" w:before="300"/>
      </w:pPr>
      <w:r>
        <w:rPr>
          <w:rFonts w:ascii="Arial" w:cs="Arial" w:eastAsia="Arial" w:hAnsi="Arial"/>
          <w:b/>
          <w:bCs/>
          <w:color w:val="1B2A4A"/>
          <w:sz w:val="26"/>
          <w:szCs w:val="26"/>
        </w:rPr>
        <w:t xml:space="preserve">The Core Position</w:t>
      </w:r>
    </w:p>
    <w:p>
      <w:pPr>
        <w:pBdr>
          <w:left w:val="single" w:color="C0392B" w:sz="6" w:space="8"/>
        </w:pBdr>
        <w:spacing w:after="120" w:before="120" w:line="320"/>
        <w:ind w:left="720" w:right="720"/>
      </w:pPr>
      <w:r>
        <w:rPr>
          <w:rFonts w:ascii="Arial" w:cs="Arial" w:eastAsia="Arial" w:hAnsi="Arial"/>
          <w:i/>
          <w:iCs/>
          <w:color w:val="C0392B"/>
          <w:sz w:val="22"/>
          <w:szCs w:val="22"/>
        </w:rPr>
        <w:t xml:space="preserve">No company is too big to punish. Some are too important to collapse. That is why BUILD separates the workers from the extractors.</w:t>
      </w:r>
    </w:p>
    <w:p>
      <w:pPr>
        <w:spacing w:after="100" w:before="100"/>
      </w:pPr>
    </w:p>
    <w:p>
      <w:pPr>
        <w:pBdr>
          <w:left w:val="single" w:color="C0392B" w:sz="6" w:space="8"/>
        </w:pBdr>
        <w:spacing w:after="120" w:before="120" w:line="320"/>
        <w:ind w:left="720" w:right="720"/>
      </w:pPr>
      <w:r>
        <w:rPr>
          <w:rFonts w:ascii="Arial" w:cs="Arial" w:eastAsia="Arial" w:hAnsi="Arial"/>
          <w:i/>
          <w:iCs/>
          <w:color w:val="C0392B"/>
          <w:sz w:val="22"/>
          <w:szCs w:val="22"/>
        </w:rPr>
        <w:t xml:space="preserve">The company does not get destroyed. It gets confiscated from the people who abused it. The workers stay. The poisoners go. The profit repairs the damage.</w:t>
      </w:r>
    </w:p>
    <w:p>
      <w:pPr>
        <w:spacing w:after="100" w:before="100"/>
      </w:pPr>
    </w:p>
    <w:p>
      <w:pPr>
        <w:pStyle w:val="Heading2"/>
        <w:spacing w:after="150" w:before="300"/>
      </w:pPr>
      <w:r>
        <w:rPr>
          <w:rFonts w:ascii="Arial" w:cs="Arial" w:eastAsia="Arial" w:hAnsi="Arial"/>
          <w:b/>
          <w:bCs/>
          <w:color w:val="1B2A4A"/>
          <w:sz w:val="26"/>
          <w:szCs w:val="26"/>
        </w:rPr>
        <w:t xml:space="preserve">New Offence Category</w:t>
      </w:r>
    </w:p>
    <w:p>
      <w:pPr>
        <w:spacing w:after="100" w:before="200"/>
      </w:pPr>
      <w:r>
        <w:rPr>
          <w:rFonts w:ascii="Arial" w:cs="Arial" w:eastAsia="Arial" w:hAnsi="Arial"/>
          <w:b/>
          <w:bCs/>
          <w:color w:val="C0392B"/>
          <w:sz w:val="22"/>
          <w:szCs w:val="22"/>
        </w:rPr>
        <w:t xml:space="preserve">Aggravated Public-Endangerment Homicide</w:t>
      </w:r>
    </w:p>
    <w:p>
      <w:pPr>
        <w:spacing w:after="80" w:before="80" w:line="320"/>
        <w:jc w:val="left"/>
      </w:pPr>
      <w:r>
        <w:rPr>
          <w:rFonts w:ascii="Arial" w:cs="Arial" w:eastAsia="Arial" w:hAnsi="Arial"/>
          <w:b w:val="false"/>
          <w:bCs w:val="false"/>
          <w:i w:val="false"/>
          <w:iCs w:val="false"/>
          <w:color w:val="4A4A4A"/>
          <w:sz w:val="22"/>
          <w:szCs w:val="22"/>
        </w:rPr>
        <w:t xml:space="preserve">A new classification proposed under the BUILD justice framework for cases where vehicular killing occurs alongside stacking aggravating factors. This elevates the charge out of the motoring offence category and into the homicide framework where it belongs.</w:t>
      </w:r>
    </w:p>
    <w:p>
      <w:pPr>
        <w:spacing w:after="80" w:before="80" w:line="320"/>
        <w:jc w:val="left"/>
      </w:pPr>
      <w:r>
        <w:rPr>
          <w:rFonts w:ascii="Arial" w:cs="Arial" w:eastAsia="Arial" w:hAnsi="Arial"/>
          <w:b w:val="false"/>
          <w:bCs w:val="false"/>
          <w:i w:val="false"/>
          <w:iCs w:val="false"/>
          <w:color w:val="4A4A4A"/>
          <w:sz w:val="22"/>
          <w:szCs w:val="22"/>
        </w:rPr>
        <w:t xml:space="preserve">Triggering factors: driving while disqualified, excessive speed, fleeing the scene, attempted cover-up, prior driving convictions. The classification distinguishes targeted violence from public-endangerment — the defendant did not set out to kill a specific person, but endangered everyone and someone paid the price.</w:t>
      </w:r>
    </w:p>
    <w:p>
      <w:r>
        <w:br w:type="page"/>
      </w:r>
    </w:p>
    <w:p>
      <w:pPr>
        <w:pStyle w:val="Heading1"/>
        <w:spacing w:after="200" w:before="400"/>
      </w:pPr>
      <w:r>
        <w:rPr>
          <w:rFonts w:ascii="Arial" w:cs="Arial" w:eastAsia="Arial" w:hAnsi="Arial"/>
          <w:b/>
          <w:bCs/>
          <w:color w:val="1B2A4A"/>
          <w:sz w:val="32"/>
          <w:szCs w:val="32"/>
        </w:rPr>
        <w:t xml:space="preserve">The Ten Principles</w:t>
      </w:r>
    </w:p>
    <w:p>
      <w:pPr>
        <w:spacing w:after="100" w:before="100"/>
      </w:pPr>
    </w:p>
    <w:p>
      <w:pPr>
        <w:pStyle w:val="Heading2"/>
        <w:spacing w:after="150" w:before="300"/>
      </w:pPr>
      <w:r>
        <w:rPr>
          <w:rFonts w:ascii="Arial" w:cs="Arial" w:eastAsia="Arial" w:hAnsi="Arial"/>
          <w:b/>
          <w:bCs/>
          <w:color w:val="1B2A4A"/>
          <w:sz w:val="26"/>
          <w:szCs w:val="26"/>
        </w:rPr>
        <w:t xml:space="preserve">1. Harm Must Be Named Plainly</w:t>
      </w:r>
    </w:p>
    <w:p>
      <w:pPr>
        <w:spacing w:after="100" w:before="200"/>
      </w:pPr>
      <w:r>
        <w:rPr>
          <w:rFonts w:ascii="Arial" w:cs="Arial" w:eastAsia="Arial" w:hAnsi="Arial"/>
          <w:b/>
          <w:bCs/>
          <w:color w:val="C0392B"/>
          <w:sz w:val="22"/>
          <w:szCs w:val="22"/>
        </w:rPr>
        <w:t xml:space="preserve">The Rulings: Daniel Marsh and Sophie Tenant</w:t>
      </w:r>
    </w:p>
    <w:p>
      <w:pPr>
        <w:spacing w:after="80" w:before="80" w:line="320"/>
        <w:jc w:val="left"/>
      </w:pPr>
      <w:r>
        <w:rPr>
          <w:rFonts w:ascii="Arial" w:cs="Arial" w:eastAsia="Arial" w:hAnsi="Arial"/>
          <w:b/>
          <w:bCs/>
          <w:color w:val="4A4A4A"/>
          <w:sz w:val="22"/>
          <w:szCs w:val="22"/>
        </w:rPr>
        <w:t xml:space="preserve">R v. Daniel Marsh — </w:t>
      </w:r>
      <w:r>
        <w:rPr>
          <w:rFonts w:ascii="Arial" w:cs="Arial" w:eastAsia="Arial" w:hAnsi="Arial"/>
          <w:color w:val="4A4A4A"/>
          <w:sz w:val="22"/>
          <w:szCs w:val="22"/>
        </w:rPr>
        <w:t xml:space="preserve">Premeditated GBH. Two strikes to the face, one as the victim fell. Broken jaw, fractured eye socket, permanent visual impairment. The defendant drove to the pub knowing the victim would be there and told a colleague he was going to "sort him out." </w:t>
      </w:r>
      <w:r>
        <w:rPr>
          <w:rFonts w:ascii="Arial" w:cs="Arial" w:eastAsia="Arial" w:hAnsi="Arial"/>
          <w:b/>
          <w:bCs/>
          <w:color w:val="4A4A4A"/>
          <w:sz w:val="22"/>
          <w:szCs w:val="22"/>
        </w:rPr>
        <w:t xml:space="preserve">Sentence: 2 years custodial, no early parole, outreach work, full damages to the victim, NHS treatment costs repaid.</w:t>
      </w:r>
    </w:p>
    <w:p>
      <w:pPr>
        <w:spacing w:after="80" w:before="80" w:line="320"/>
        <w:jc w:val="left"/>
      </w:pPr>
      <w:r>
        <w:rPr>
          <w:rFonts w:ascii="Arial" w:cs="Arial" w:eastAsia="Arial" w:hAnsi="Arial"/>
          <w:b/>
          <w:bCs/>
          <w:color w:val="4A4A4A"/>
          <w:sz w:val="22"/>
          <w:szCs w:val="22"/>
        </w:rPr>
        <w:t xml:space="preserve">R v. Sophie Tenant — </w:t>
      </w:r>
      <w:r>
        <w:rPr>
          <w:rFonts w:ascii="Arial" w:cs="Arial" w:eastAsia="Arial" w:hAnsi="Arial"/>
          <w:color w:val="4A4A4A"/>
          <w:sz w:val="22"/>
          <w:szCs w:val="22"/>
        </w:rPr>
        <w:t xml:space="preserve">GBH with cover-up. Struck her partner with a ceramic lamp, fracturing his skull and causing a brain bleed. The victim developed lifelong post-traumatic epilepsy. She then lied to paramedics, police, and maintained the lie through two interviews before forensics dismantled her story. </w:t>
      </w:r>
      <w:r>
        <w:rPr>
          <w:rFonts w:ascii="Arial" w:cs="Arial" w:eastAsia="Arial" w:hAnsi="Arial"/>
          <w:b/>
          <w:bCs/>
          <w:color w:val="4A4A4A"/>
          <w:sz w:val="22"/>
          <w:szCs w:val="22"/>
        </w:rPr>
        <w:t xml:space="preserve">Sentence: 4 years custodial, no early parole, CRB permanently voided, outreach work.</w:t>
      </w:r>
    </w:p>
    <w:p>
      <w:pPr>
        <w:spacing w:after="80" w:before="80" w:line="320"/>
        <w:jc w:val="left"/>
      </w:pPr>
      <w:r>
        <w:rPr>
          <w:rFonts w:ascii="Arial" w:cs="Arial" w:eastAsia="Arial" w:hAnsi="Arial"/>
          <w:b w:val="false"/>
          <w:bCs w:val="false"/>
          <w:i w:val="false"/>
          <w:iCs w:val="false"/>
          <w:color w:val="4A4A4A"/>
          <w:sz w:val="22"/>
          <w:szCs w:val="22"/>
        </w:rPr>
        <w:t xml:space="preserve">The Application: The court did not simply assess physical injury. It isolated the deception as an independent, severe harm to the justice system itself. By doubling the sentence and permanently voiding Tenant’s professional clearance, the bench plainly states that obstructing the truth compounds the original crime. The defence argued coercive control as mitigation. The bench ruled: there are ways and means to leave abusive relationships. Staying does not grant a licence for extreme violence followed by systematic lying.</w:t>
      </w:r>
    </w:p>
    <w:p>
      <w:pPr>
        <w:spacing w:after="100" w:before="100"/>
      </w:pPr>
    </w:p>
    <w:p>
      <w:pPr>
        <w:pStyle w:val="Heading2"/>
        <w:spacing w:after="150" w:before="300"/>
      </w:pPr>
      <w:r>
        <w:rPr>
          <w:rFonts w:ascii="Arial" w:cs="Arial" w:eastAsia="Arial" w:hAnsi="Arial"/>
          <w:b/>
          <w:bCs/>
          <w:color w:val="1B2A4A"/>
          <w:sz w:val="26"/>
          <w:szCs w:val="26"/>
        </w:rPr>
        <w:t xml:space="preserve">2. Victims Matter, But Revenge Is Not Justice</w:t>
      </w:r>
    </w:p>
    <w:p>
      <w:pPr>
        <w:spacing w:after="100" w:before="200"/>
      </w:pPr>
      <w:r>
        <w:rPr>
          <w:rFonts w:ascii="Arial" w:cs="Arial" w:eastAsia="Arial" w:hAnsi="Arial"/>
          <w:b/>
          <w:bCs/>
          <w:color w:val="C0392B"/>
          <w:sz w:val="22"/>
          <w:szCs w:val="22"/>
        </w:rPr>
        <w:t xml:space="preserve">The Ruling: James Okafor</w:t>
      </w:r>
    </w:p>
    <w:p>
      <w:pPr>
        <w:spacing w:after="80" w:before="80" w:line="320"/>
        <w:jc w:val="left"/>
      </w:pPr>
      <w:r>
        <w:rPr>
          <w:rFonts w:ascii="Arial" w:cs="Arial" w:eastAsia="Arial" w:hAnsi="Arial"/>
          <w:b/>
          <w:bCs/>
          <w:color w:val="4A4A4A"/>
          <w:sz w:val="22"/>
          <w:szCs w:val="22"/>
        </w:rPr>
        <w:t xml:space="preserve">R v. James Okafor — </w:t>
      </w:r>
      <w:r>
        <w:rPr>
          <w:rFonts w:ascii="Arial" w:cs="Arial" w:eastAsia="Arial" w:hAnsi="Arial"/>
          <w:color w:val="4A4A4A"/>
          <w:sz w:val="22"/>
          <w:szCs w:val="22"/>
        </w:rPr>
        <w:t xml:space="preserve">Manslaughter during a home invasion. Two intruders forced entry at 2:15am while his wife and three children slept upstairs. The defendant struck the intruder with a baseball bat kept for home defence. The first strike was lawful self-defence. The second and third strikes, delivered to a man on the ground, crossed the line from defence into fatal violence. </w:t>
      </w:r>
      <w:r>
        <w:rPr>
          <w:rFonts w:ascii="Arial" w:cs="Arial" w:eastAsia="Arial" w:hAnsi="Arial"/>
          <w:b/>
          <w:bCs/>
          <w:color w:val="4A4A4A"/>
          <w:sz w:val="22"/>
          <w:szCs w:val="22"/>
        </w:rPr>
        <w:t xml:space="preserve">Sentence: 20 years Cat D open prison. Family visitation maintained. Permitted to continue church work and youth outreach.</w:t>
      </w:r>
    </w:p>
    <w:p>
      <w:pPr>
        <w:spacing w:after="80" w:before="80" w:line="320"/>
        <w:jc w:val="left"/>
      </w:pPr>
      <w:r>
        <w:rPr>
          <w:rFonts w:ascii="Arial" w:cs="Arial" w:eastAsia="Arial" w:hAnsi="Arial"/>
          <w:b w:val="false"/>
          <w:bCs w:val="false"/>
          <w:i w:val="false"/>
          <w:iCs w:val="false"/>
          <w:color w:val="4A4A4A"/>
          <w:sz w:val="22"/>
          <w:szCs w:val="22"/>
        </w:rPr>
        <w:t xml:space="preserve">The Application: A life was lost, demanding a substantial sentence. However, because this was a father defending his sleeping family rather than premeditated murder, the framework refuses to warehouse him in a maximum-security cell for pure vengeance. The Cat D open prison placement acknowledges that a repaired human being is safer for society than a broken one. The bench also noted that the baseball bat was kept specifically for this purpose — a semi-premeditated response — which sustained the 20-year term even under challenge.</w:t>
      </w:r>
    </w:p>
    <w:p>
      <w:pPr>
        <w:pBdr>
          <w:left w:val="single" w:color="C0392B" w:sz="6" w:space="8"/>
        </w:pBdr>
        <w:spacing w:after="120" w:before="120" w:line="320"/>
        <w:ind w:left="720" w:right="720"/>
      </w:pPr>
      <w:r>
        <w:rPr>
          <w:rFonts w:ascii="Arial" w:cs="Arial" w:eastAsia="Arial" w:hAnsi="Arial"/>
          <w:i/>
          <w:iCs/>
          <w:color w:val="C0392B"/>
          <w:sz w:val="22"/>
          <w:szCs w:val="22"/>
        </w:rPr>
        <w:t xml:space="preserve">Once someone is on the ground, you stop. Full stop. Regardless of why they were in your house.</w:t>
      </w:r>
    </w:p>
    <w:p>
      <w:pPr>
        <w:spacing w:after="100" w:before="100"/>
      </w:pPr>
    </w:p>
    <w:p>
      <w:pPr>
        <w:pStyle w:val="Heading2"/>
        <w:spacing w:after="150" w:before="300"/>
      </w:pPr>
      <w:r>
        <w:rPr>
          <w:rFonts w:ascii="Arial" w:cs="Arial" w:eastAsia="Arial" w:hAnsi="Arial"/>
          <w:b/>
          <w:bCs/>
          <w:color w:val="1B2A4A"/>
          <w:sz w:val="26"/>
          <w:szCs w:val="26"/>
        </w:rPr>
        <w:t xml:space="preserve">3. Public Danger Justifies Containment</w:t>
      </w:r>
    </w:p>
    <w:p>
      <w:pPr>
        <w:spacing w:after="100" w:before="200"/>
      </w:pPr>
      <w:r>
        <w:rPr>
          <w:rFonts w:ascii="Arial" w:cs="Arial" w:eastAsia="Arial" w:hAnsi="Arial"/>
          <w:b/>
          <w:bCs/>
          <w:color w:val="C0392B"/>
          <w:sz w:val="22"/>
          <w:szCs w:val="22"/>
        </w:rPr>
        <w:t xml:space="preserve">The Ruling: Marcus Draper</w:t>
      </w:r>
    </w:p>
    <w:p>
      <w:pPr>
        <w:spacing w:after="80" w:before="80" w:line="320"/>
        <w:jc w:val="left"/>
      </w:pPr>
      <w:r>
        <w:rPr>
          <w:rFonts w:ascii="Arial" w:cs="Arial" w:eastAsia="Arial" w:hAnsi="Arial"/>
          <w:b/>
          <w:bCs/>
          <w:color w:val="4A4A4A"/>
          <w:sz w:val="22"/>
          <w:szCs w:val="22"/>
        </w:rPr>
        <w:t xml:space="preserve">R v. Marcus Draper — </w:t>
      </w:r>
      <w:r>
        <w:rPr>
          <w:rFonts w:ascii="Arial" w:cs="Arial" w:eastAsia="Arial" w:hAnsi="Arial"/>
          <w:color w:val="4A4A4A"/>
          <w:sz w:val="22"/>
          <w:szCs w:val="22"/>
        </w:rPr>
        <w:t xml:space="preserve">Repeat child sex offender. Previously convicted of sexual activity with a child and served half of a 3-year sentence. Upon release, breached his Sexual Harm Prevention Order, moved address without notification, acquired phones, groomed two girls aged 11 and 12 through a gaming platform, and committed contact sexual assault on the 11-year-old. </w:t>
      </w:r>
      <w:r>
        <w:rPr>
          <w:rFonts w:ascii="Arial" w:cs="Arial" w:eastAsia="Arial" w:hAnsi="Arial"/>
          <w:b/>
          <w:bCs/>
          <w:color w:val="4A4A4A"/>
          <w:sz w:val="22"/>
          <w:szCs w:val="22"/>
        </w:rPr>
        <w:t xml:space="preserve">Sentence: 20 years (revised upward from initial 6 years via judicial review). Specialist institution. Permanent sex offender register. Twice-weekly police reporting for life. Lifetime technology ban with 2G exception for carer contact. Any post-release contact with children triggers immediate 5-year recommittal.</w:t>
      </w:r>
    </w:p>
    <w:p>
      <w:pPr>
        <w:spacing w:after="80" w:before="80" w:line="320"/>
        <w:jc w:val="left"/>
      </w:pPr>
      <w:r>
        <w:rPr>
          <w:rFonts w:ascii="Arial" w:cs="Arial" w:eastAsia="Arial" w:hAnsi="Arial"/>
          <w:b w:val="false"/>
          <w:bCs w:val="false"/>
          <w:i w:val="false"/>
          <w:iCs w:val="false"/>
          <w:color w:val="4A4A4A"/>
          <w:sz w:val="22"/>
          <w:szCs w:val="22"/>
        </w:rPr>
        <w:t xml:space="preserve">The Application: The court radically revised an initial 6-year sentence upward to 20 years following a sentencing consistency review — demonstrating BUILD’s commitment to retrospective upward review when sentences are found to be inconsistent with comparable cases. The containment is absolute, technological, and permanent. Rehabilitation is a secondary concern when active public danger is present. The specialist institution placement acknowledges that a standard prison is the wrong environment for a defendant with an IQ of 68 and severe learning difficulties, while the lifetime conditions ensure he is never truly unsupervised again.</w:t>
      </w:r>
    </w:p>
    <w:p>
      <w:pPr>
        <w:spacing w:after="100" w:before="100"/>
      </w:pPr>
    </w:p>
    <w:p>
      <w:pPr>
        <w:pStyle w:val="Heading2"/>
        <w:spacing w:after="150" w:before="300"/>
      </w:pPr>
      <w:r>
        <w:rPr>
          <w:rFonts w:ascii="Arial" w:cs="Arial" w:eastAsia="Arial" w:hAnsi="Arial"/>
          <w:b/>
          <w:bCs/>
          <w:color w:val="1B2A4A"/>
          <w:sz w:val="26"/>
          <w:szCs w:val="26"/>
        </w:rPr>
        <w:t xml:space="preserve">4. Corruption Is Punished Through Removal of Power and Assets</w:t>
      </w:r>
    </w:p>
    <w:p>
      <w:pPr>
        <w:spacing w:after="100" w:before="200"/>
      </w:pPr>
      <w:r>
        <w:rPr>
          <w:rFonts w:ascii="Arial" w:cs="Arial" w:eastAsia="Arial" w:hAnsi="Arial"/>
          <w:b/>
          <w:bCs/>
          <w:color w:val="C0392B"/>
          <w:sz w:val="22"/>
          <w:szCs w:val="22"/>
        </w:rPr>
        <w:t xml:space="preserve">The Ruling: Natalie Corwen</w:t>
      </w:r>
    </w:p>
    <w:p>
      <w:pPr>
        <w:spacing w:after="80" w:before="80" w:line="320"/>
        <w:jc w:val="left"/>
      </w:pPr>
      <w:r>
        <w:rPr>
          <w:rFonts w:ascii="Arial" w:cs="Arial" w:eastAsia="Arial" w:hAnsi="Arial"/>
          <w:b/>
          <w:bCs/>
          <w:color w:val="4A4A4A"/>
          <w:sz w:val="22"/>
          <w:szCs w:val="22"/>
        </w:rPr>
        <w:t xml:space="preserve">R v. Natalie Corwen — </w:t>
      </w:r>
      <w:r>
        <w:rPr>
          <w:rFonts w:ascii="Arial" w:cs="Arial" w:eastAsia="Arial" w:hAnsi="Arial"/>
          <w:color w:val="4A4A4A"/>
          <w:sz w:val="22"/>
          <w:szCs w:val="22"/>
        </w:rPr>
        <w:t xml:space="preserve">Head of Adult Social Care Commissioning for Kent County Council. Over six years she awarded £4.6 million in contracts to three companies operated by her brother-in-law, signed twelve false conflict-of-interest declarations, intervened to delay CQC inspections of underperforming providers, and laundered £1.2 million into four mortgage-free buy-to-let properties. One elderly resident died in an understaffed facility she protected. </w:t>
      </w:r>
      <w:r>
        <w:rPr>
          <w:rFonts w:ascii="Arial" w:cs="Arial" w:eastAsia="Arial" w:hAnsi="Arial"/>
          <w:b/>
          <w:bCs/>
          <w:color w:val="4A4A4A"/>
          <w:sz w:val="22"/>
          <w:szCs w:val="22"/>
        </w:rPr>
        <w:t xml:space="preserve">Sentence: No custody. Lifetime ban from public office. 5% gross monthly wage deduction as restorative repayment. Four properties forfeited to community housing. 5-year mandatory frontline care work for misconduct. Lifetime forensic accounting oversight on all significant financial activity.</w:t>
      </w:r>
    </w:p>
    <w:p>
      <w:pPr>
        <w:spacing w:after="80" w:before="80" w:line="320"/>
        <w:jc w:val="left"/>
      </w:pPr>
      <w:r>
        <w:rPr>
          <w:rFonts w:ascii="Arial" w:cs="Arial" w:eastAsia="Arial" w:hAnsi="Arial"/>
          <w:b w:val="false"/>
          <w:bCs w:val="false"/>
          <w:i w:val="false"/>
          <w:iCs w:val="false"/>
          <w:color w:val="4A4A4A"/>
          <w:sz w:val="22"/>
          <w:szCs w:val="22"/>
        </w:rPr>
        <w:t xml:space="preserve">The Application: Traditional prison would cost the taxpayer approximately £50,000 per year to house her. Instead, the bench stripped her of her professional status, her accumulated wealth, and her dignity. Five years of frontline care work — changing linens, assisting residents, seeing firsthand what bad commissioning produces — is a profound humbling for someone who held a £67,000 senior role. The community wins: four properties become community housing. The corrupt lose everything. Not a single day in a cell, because a cell would have been the easy option.</w:t>
      </w:r>
    </w:p>
    <w:p>
      <w:pPr>
        <w:spacing w:after="100" w:before="100"/>
      </w:pPr>
    </w:p>
    <w:p>
      <w:pPr>
        <w:pStyle w:val="Heading2"/>
        <w:spacing w:after="150" w:before="300"/>
      </w:pPr>
      <w:r>
        <w:rPr>
          <w:rFonts w:ascii="Arial" w:cs="Arial" w:eastAsia="Arial" w:hAnsi="Arial"/>
          <w:b/>
          <w:bCs/>
          <w:color w:val="1B2A4A"/>
          <w:sz w:val="26"/>
          <w:szCs w:val="26"/>
        </w:rPr>
        <w:t xml:space="preserve">5. Rehabilitation Must Be Earned, Not Assumed</w:t>
      </w:r>
    </w:p>
    <w:p>
      <w:pPr>
        <w:spacing w:after="100" w:before="200"/>
      </w:pPr>
      <w:r>
        <w:rPr>
          <w:rFonts w:ascii="Arial" w:cs="Arial" w:eastAsia="Arial" w:hAnsi="Arial"/>
          <w:b/>
          <w:bCs/>
          <w:color w:val="C0392B"/>
          <w:sz w:val="22"/>
          <w:szCs w:val="22"/>
        </w:rPr>
        <w:t xml:space="preserve">The Ruling: Tyler Garrick</w:t>
      </w:r>
    </w:p>
    <w:p>
      <w:pPr>
        <w:spacing w:after="80" w:before="80" w:line="320"/>
        <w:jc w:val="left"/>
      </w:pPr>
      <w:r>
        <w:rPr>
          <w:rFonts w:ascii="Arial" w:cs="Arial" w:eastAsia="Arial" w:hAnsi="Arial"/>
          <w:b/>
          <w:bCs/>
          <w:color w:val="4A4A4A"/>
          <w:sz w:val="22"/>
          <w:szCs w:val="22"/>
        </w:rPr>
        <w:t xml:space="preserve">R v. Tyler Garrick — </w:t>
      </w:r>
      <w:r>
        <w:rPr>
          <w:rFonts w:ascii="Arial" w:cs="Arial" w:eastAsia="Arial" w:hAnsi="Arial"/>
          <w:color w:val="4A4A4A"/>
          <w:sz w:val="22"/>
          <w:szCs w:val="22"/>
        </w:rPr>
        <w:t xml:space="preserve">Aged 19. Drove at 58mph in a 30 zone while serving his second driving disqualification. Struck and killed Arthur Kedwell, aged 73, on a marked pedestrian crossing. Fled the scene. His sister Leanne falsely confessed to driving to shield him from additional charges. Prior convictions: two driving disqualifications and affray. </w:t>
      </w:r>
      <w:r>
        <w:rPr>
          <w:rFonts w:ascii="Arial" w:cs="Arial" w:eastAsia="Arial" w:hAnsi="Arial"/>
          <w:b/>
          <w:bCs/>
          <w:color w:val="4A4A4A"/>
          <w:sz w:val="22"/>
          <w:szCs w:val="22"/>
        </w:rPr>
        <w:t xml:space="preserve">Sentence: 30 years custodial, no early parole. Outreach and community work where merits warrant. Classified under proposed new offence: Aggravated Public-Endangerment Homicide.</w:t>
      </w:r>
    </w:p>
    <w:p>
      <w:pPr>
        <w:spacing w:after="80" w:before="80" w:line="320"/>
        <w:jc w:val="left"/>
      </w:pPr>
      <w:r>
        <w:rPr>
          <w:rFonts w:ascii="Arial" w:cs="Arial" w:eastAsia="Arial" w:hAnsi="Arial"/>
          <w:b w:val="false"/>
          <w:bCs w:val="false"/>
          <w:i w:val="false"/>
          <w:iCs w:val="false"/>
          <w:color w:val="4A4A4A"/>
          <w:sz w:val="22"/>
          <w:szCs w:val="22"/>
        </w:rPr>
        <w:t xml:space="preserve">The Application: The defence offered youth, lack of intent, and remorse. The bench rejected all three. He did not intend to kill, but he absolutely intended to circumvent a driving ban and used family leverage to access a vehicle. Rehabilitation is available through the outreach and work programmes, but it must be actively earned. There is no passive path to parole. He must physically work to earn a shred of privilege back. At 49 he will be eligible for release — if he has earned it.</w:t>
      </w:r>
    </w:p>
    <w:p>
      <w:pPr>
        <w:spacing w:after="100" w:before="100"/>
      </w:pPr>
    </w:p>
    <w:p>
      <w:pPr>
        <w:pStyle w:val="Heading2"/>
        <w:spacing w:after="150" w:before="300"/>
      </w:pPr>
      <w:r>
        <w:rPr>
          <w:rFonts w:ascii="Arial" w:cs="Arial" w:eastAsia="Arial" w:hAnsi="Arial"/>
          <w:b/>
          <w:bCs/>
          <w:color w:val="1B2A4A"/>
          <w:sz w:val="26"/>
          <w:szCs w:val="26"/>
        </w:rPr>
        <w:t xml:space="preserve">6. Protest Is Protected; Coercion Is Not</w:t>
      </w:r>
    </w:p>
    <w:p>
      <w:pPr>
        <w:spacing w:after="100" w:before="200"/>
      </w:pPr>
      <w:r>
        <w:rPr>
          <w:rFonts w:ascii="Arial" w:cs="Arial" w:eastAsia="Arial" w:hAnsi="Arial"/>
          <w:b/>
          <w:bCs/>
          <w:color w:val="C0392B"/>
          <w:sz w:val="22"/>
          <w:szCs w:val="22"/>
        </w:rPr>
        <w:t xml:space="preserve">The Ruling: Helen Marsh</w:t>
      </w:r>
    </w:p>
    <w:p>
      <w:pPr>
        <w:spacing w:after="80" w:before="80" w:line="320"/>
        <w:jc w:val="left"/>
      </w:pPr>
      <w:r>
        <w:rPr>
          <w:rFonts w:ascii="Arial" w:cs="Arial" w:eastAsia="Arial" w:hAnsi="Arial"/>
          <w:b/>
          <w:bCs/>
          <w:color w:val="4A4A4A"/>
          <w:sz w:val="22"/>
          <w:szCs w:val="22"/>
        </w:rPr>
        <w:t xml:space="preserve">R v. Helen Marsh — </w:t>
      </w:r>
      <w:r>
        <w:rPr>
          <w:rFonts w:ascii="Arial" w:cs="Arial" w:eastAsia="Arial" w:hAnsi="Arial"/>
          <w:color w:val="4A4A4A"/>
          <w:sz w:val="22"/>
          <w:szCs w:val="22"/>
        </w:rPr>
        <w:t xml:space="preserve">Aged 52, retired teacher. Organised a protest via Facebook against asylum seeker accommodation in a community centre. Approximately 300 people attended. The protest turned violent with £94,000 in damage. The Crown charged her with criminal damage via joint enterprise and organising an unlawful assembly. She did not personally damage any property, commit any violence, or incite violence. </w:t>
      </w:r>
      <w:r>
        <w:rPr>
          <w:rFonts w:ascii="Arial" w:cs="Arial" w:eastAsia="Arial" w:hAnsi="Arial"/>
          <w:b/>
          <w:bCs/>
          <w:color w:val="4A4A4A"/>
          <w:sz w:val="22"/>
          <w:szCs w:val="22"/>
        </w:rPr>
        <w:t xml:space="preserve">Sentence: Both criminal charges dismissed. 12-month community resolution order for failure to de-escalate. 18-month restriction on organising or attending protests and online community forums for that purpose. General internet access retained.</w:t>
      </w:r>
    </w:p>
    <w:p>
      <w:pPr>
        <w:spacing w:after="80" w:before="80" w:line="320"/>
        <w:jc w:val="left"/>
      </w:pPr>
      <w:r>
        <w:rPr>
          <w:rFonts w:ascii="Arial" w:cs="Arial" w:eastAsia="Arial" w:hAnsi="Arial"/>
          <w:b w:val="false"/>
          <w:bCs w:val="false"/>
          <w:i w:val="false"/>
          <w:iCs w:val="false"/>
          <w:color w:val="4A4A4A"/>
          <w:sz w:val="22"/>
          <w:szCs w:val="22"/>
        </w:rPr>
        <w:t xml:space="preserve">The Application: The bench dismissed the joint enterprise charge as hearsay and ruled that there is nothing in law that requires a citizen to notify police before gathering. Organising a protest is not a crime. Speaking passionately about community is not a crime. However, standing at the front of something that turns violent and doing nothing to calm it carries civic responsibility — not custodial, but civic. This ruling effectively guts the joint enterprise doctrine for protest cases.</w:t>
      </w:r>
    </w:p>
    <w:p>
      <w:pPr>
        <w:pBdr>
          <w:left w:val="single" w:color="C0392B" w:sz="6" w:space="8"/>
        </w:pBdr>
        <w:spacing w:after="120" w:before="120" w:line="320"/>
        <w:ind w:left="720" w:right="720"/>
      </w:pPr>
      <w:r>
        <w:rPr>
          <w:rFonts w:ascii="Arial" w:cs="Arial" w:eastAsia="Arial" w:hAnsi="Arial"/>
          <w:i/>
          <w:iCs/>
          <w:color w:val="C0392B"/>
          <w:sz w:val="22"/>
          <w:szCs w:val="22"/>
        </w:rPr>
        <w:t xml:space="preserve">There is nothing in the law that prevents unlawful assembly. There is no black-and-white law that says you have to tell the police you are intending to gather.</w:t>
      </w:r>
    </w:p>
    <w:p>
      <w:pPr>
        <w:spacing w:after="100" w:before="100"/>
      </w:pPr>
    </w:p>
    <w:p>
      <w:pPr>
        <w:pStyle w:val="Heading2"/>
        <w:spacing w:after="150" w:before="300"/>
      </w:pPr>
      <w:r>
        <w:rPr>
          <w:rFonts w:ascii="Arial" w:cs="Arial" w:eastAsia="Arial" w:hAnsi="Arial"/>
          <w:b/>
          <w:bCs/>
          <w:color w:val="1B2A4A"/>
          <w:sz w:val="26"/>
          <w:szCs w:val="26"/>
        </w:rPr>
        <w:t xml:space="preserve">7. Disability Explains Context, Not Automatic Innocence</w:t>
      </w:r>
    </w:p>
    <w:p>
      <w:pPr>
        <w:spacing w:after="100" w:before="200"/>
      </w:pPr>
      <w:r>
        <w:rPr>
          <w:rFonts w:ascii="Arial" w:cs="Arial" w:eastAsia="Arial" w:hAnsi="Arial"/>
          <w:b/>
          <w:bCs/>
          <w:color w:val="C0392B"/>
          <w:sz w:val="22"/>
          <w:szCs w:val="22"/>
        </w:rPr>
        <w:t xml:space="preserve">The Ruling: Craig Dunne</w:t>
      </w:r>
    </w:p>
    <w:p>
      <w:pPr>
        <w:spacing w:after="80" w:before="80" w:line="320"/>
        <w:jc w:val="left"/>
      </w:pPr>
      <w:r>
        <w:rPr>
          <w:rFonts w:ascii="Arial" w:cs="Arial" w:eastAsia="Arial" w:hAnsi="Arial"/>
          <w:b/>
          <w:bCs/>
          <w:color w:val="4A4A4A"/>
          <w:sz w:val="22"/>
          <w:szCs w:val="22"/>
        </w:rPr>
        <w:t xml:space="preserve">R v. Craig Dunne — </w:t>
      </w:r>
      <w:r>
        <w:rPr>
          <w:rFonts w:ascii="Arial" w:cs="Arial" w:eastAsia="Arial" w:hAnsi="Arial"/>
          <w:color w:val="4A4A4A"/>
          <w:sz w:val="22"/>
          <w:szCs w:val="22"/>
        </w:rPr>
        <w:t xml:space="preserve">Aged 27, unemployed, homeless, no GCSEs, probable undiagnosed dyslexia and ADHD. Failed by education, social services, and the benefits system at every stage. Threw a bollard through a town hall window and kicked a police officer during a protest. Prior convictions: drunk and disorderly, breach of community order. </w:t>
      </w:r>
      <w:r>
        <w:rPr>
          <w:rFonts w:ascii="Arial" w:cs="Arial" w:eastAsia="Arial" w:hAnsi="Arial"/>
          <w:b/>
          <w:bCs/>
          <w:color w:val="4A4A4A"/>
          <w:sz w:val="22"/>
          <w:szCs w:val="22"/>
        </w:rPr>
        <w:t xml:space="preserve">Sentence: 12 months Cat D open prison. Mandatory assessment for learning difficulties and ADHD. Vocational skills programme and supported employment pathway. Disability support and GP registration arranged prior to release.</w:t>
      </w:r>
    </w:p>
    <w:p>
      <w:pPr>
        <w:spacing w:after="80" w:before="80" w:line="320"/>
        <w:jc w:val="left"/>
      </w:pPr>
      <w:r>
        <w:rPr>
          <w:rFonts w:ascii="Arial" w:cs="Arial" w:eastAsia="Arial" w:hAnsi="Arial"/>
          <w:b w:val="false"/>
          <w:bCs w:val="false"/>
          <w:i w:val="false"/>
          <w:iCs w:val="false"/>
          <w:color w:val="4A4A4A"/>
          <w:sz w:val="22"/>
          <w:szCs w:val="22"/>
        </w:rPr>
        <w:t xml:space="preserve">The Application: Craig Dunne is a product of the very system that claims to protect the fabric of humanity. The system evicted instead of helping. It shunned due to potential disabilities. Then when a man made an absolute cry for help, the system expected the court to lay down judgement like a preacher to the flock. The disability dictates the modality of the sentence, not the guilt. Twelve months in an open prison with full diagnostic assessment and vocational programming means he walks out with a diagnosis, a skillset, stable housing, and a GP. He probably never appears in a courtroom again.</w:t>
      </w:r>
    </w:p>
    <w:p>
      <w:pPr>
        <w:spacing w:after="100" w:before="100"/>
      </w:pPr>
    </w:p>
    <w:p>
      <w:pPr>
        <w:pStyle w:val="Heading2"/>
        <w:spacing w:after="150" w:before="300"/>
      </w:pPr>
      <w:r>
        <w:rPr>
          <w:rFonts w:ascii="Arial" w:cs="Arial" w:eastAsia="Arial" w:hAnsi="Arial"/>
          <w:b/>
          <w:bCs/>
          <w:color w:val="1B2A4A"/>
          <w:sz w:val="26"/>
          <w:szCs w:val="26"/>
        </w:rPr>
        <w:t xml:space="preserve">8. Child Protection Overrides Offender Convenience</w:t>
      </w:r>
    </w:p>
    <w:p>
      <w:pPr>
        <w:spacing w:after="100" w:before="200"/>
      </w:pPr>
      <w:r>
        <w:rPr>
          <w:rFonts w:ascii="Arial" w:cs="Arial" w:eastAsia="Arial" w:hAnsi="Arial"/>
          <w:b/>
          <w:bCs/>
          <w:color w:val="C0392B"/>
          <w:sz w:val="22"/>
          <w:szCs w:val="22"/>
        </w:rPr>
        <w:t xml:space="preserve">The Ruling: Leanne Garrick</w:t>
      </w:r>
    </w:p>
    <w:p>
      <w:pPr>
        <w:spacing w:after="80" w:before="80" w:line="320"/>
        <w:jc w:val="left"/>
      </w:pPr>
      <w:r>
        <w:rPr>
          <w:rFonts w:ascii="Arial" w:cs="Arial" w:eastAsia="Arial" w:hAnsi="Arial"/>
          <w:b/>
          <w:bCs/>
          <w:color w:val="4A4A4A"/>
          <w:sz w:val="22"/>
          <w:szCs w:val="22"/>
        </w:rPr>
        <w:t xml:space="preserve">R v. Leanne Garrick — </w:t>
      </w:r>
      <w:r>
        <w:rPr>
          <w:rFonts w:ascii="Arial" w:cs="Arial" w:eastAsia="Arial" w:hAnsi="Arial"/>
          <w:color w:val="4A4A4A"/>
          <w:sz w:val="22"/>
          <w:szCs w:val="22"/>
        </w:rPr>
        <w:t xml:space="preserve">Aged 24, single mother to a two-year-old daughter. Falsely confessed to driving the vehicle that killed Arthur Kedwell to protect her younger brother Tyler from additional charges. Maintained the lie through two police interviews before forensics dismantled her story. No prior convictions. </w:t>
      </w:r>
      <w:r>
        <w:rPr>
          <w:rFonts w:ascii="Arial" w:cs="Arial" w:eastAsia="Arial" w:hAnsi="Arial"/>
          <w:b/>
          <w:bCs/>
          <w:color w:val="4A4A4A"/>
          <w:sz w:val="22"/>
          <w:szCs w:val="22"/>
        </w:rPr>
        <w:t xml:space="preserve">Sentence: 6 months at a reform institute. Child placed in short-term local authority care with weekly supervised visits. Child not to be placed into fostering or adoption proceedings.</w:t>
      </w:r>
    </w:p>
    <w:p>
      <w:pPr>
        <w:spacing w:after="80" w:before="80" w:line="320"/>
        <w:jc w:val="left"/>
      </w:pPr>
      <w:r>
        <w:rPr>
          <w:rFonts w:ascii="Arial" w:cs="Arial" w:eastAsia="Arial" w:hAnsi="Arial"/>
          <w:b w:val="false"/>
          <w:bCs w:val="false"/>
          <w:i w:val="false"/>
          <w:iCs w:val="false"/>
          <w:color w:val="4A4A4A"/>
          <w:sz w:val="22"/>
          <w:szCs w:val="22"/>
        </w:rPr>
        <w:t xml:space="preserve">The Application: The defence placed the child directly in front of the bench as a human shield. The court refused to let a two-year-old become a mechanism for avoiding accountability. However, the framework also refuses to punitively destroy the child’s life for the mother’s crime. The child goes to short-term care — not foster, not rehomed — and the state incurs the logistical cost of weekly visits. The child’s emotional stability is treated as a sovereign priority. The sentence is served at a reform institute rather than a prison, providing the mother with space for genuine reflection.</w:t>
      </w:r>
    </w:p>
    <w:p>
      <w:pPr>
        <w:spacing w:after="100" w:before="100"/>
      </w:pPr>
    </w:p>
    <w:p>
      <w:pPr>
        <w:pStyle w:val="Heading2"/>
        <w:spacing w:after="150" w:before="300"/>
      </w:pPr>
      <w:r>
        <w:rPr>
          <w:rFonts w:ascii="Arial" w:cs="Arial" w:eastAsia="Arial" w:hAnsi="Arial"/>
          <w:b/>
          <w:bCs/>
          <w:color w:val="1B2A4A"/>
          <w:sz w:val="26"/>
          <w:szCs w:val="26"/>
        </w:rPr>
        <w:t xml:space="preserve">9. Professional Trust, Once Fatally Breached, May Be Permanently Lost</w:t>
      </w:r>
    </w:p>
    <w:p>
      <w:pPr>
        <w:spacing w:after="100" w:before="200"/>
      </w:pPr>
      <w:r>
        <w:rPr>
          <w:rFonts w:ascii="Arial" w:cs="Arial" w:eastAsia="Arial" w:hAnsi="Arial"/>
          <w:b/>
          <w:bCs/>
          <w:color w:val="C0392B"/>
          <w:sz w:val="22"/>
          <w:szCs w:val="22"/>
        </w:rPr>
        <w:t xml:space="preserve">The Ruling: Dr Erin Shawe</w:t>
      </w:r>
    </w:p>
    <w:p>
      <w:pPr>
        <w:spacing w:after="80" w:before="80" w:line="320"/>
        <w:jc w:val="left"/>
      </w:pPr>
      <w:r>
        <w:rPr>
          <w:rFonts w:ascii="Arial" w:cs="Arial" w:eastAsia="Arial" w:hAnsi="Arial"/>
          <w:b/>
          <w:bCs/>
          <w:color w:val="4A4A4A"/>
          <w:sz w:val="22"/>
          <w:szCs w:val="22"/>
        </w:rPr>
        <w:t xml:space="preserve">R v. Dr Erin Shawe — </w:t>
      </w:r>
      <w:r>
        <w:rPr>
          <w:rFonts w:ascii="Arial" w:cs="Arial" w:eastAsia="Arial" w:hAnsi="Arial"/>
          <w:color w:val="4A4A4A"/>
          <w:sz w:val="22"/>
          <w:szCs w:val="22"/>
        </w:rPr>
        <w:t xml:space="preserve">Palliative care consultant. Administered a fatal dose of morphine to a terminally ill patient with pancreatic cancer who had repeatedly requested death over fourteen days. The patient was lucid, had capacity, and his wife supported the decision. Dr Shawe recorded the dose accurately and told her medical director the following morning without being asked. </w:t>
      </w:r>
      <w:r>
        <w:rPr>
          <w:rFonts w:ascii="Arial" w:cs="Arial" w:eastAsia="Arial" w:hAnsi="Arial"/>
          <w:b/>
          <w:bCs/>
          <w:color w:val="4A4A4A"/>
          <w:sz w:val="22"/>
          <w:szCs w:val="22"/>
        </w:rPr>
        <w:t xml:space="preserve">Sentence: No custody. Licence to practise medicine permanently revoked. Any future administration of medical treatment results in immediate custodial committal. 24-month community order with outreach focused on recruiting into care and medical professions.</w:t>
      </w:r>
    </w:p>
    <w:p>
      <w:pPr>
        <w:spacing w:after="80" w:before="80" w:line="320"/>
        <w:jc w:val="left"/>
      </w:pPr>
      <w:r>
        <w:rPr>
          <w:rFonts w:ascii="Arial" w:cs="Arial" w:eastAsia="Arial" w:hAnsi="Arial"/>
          <w:b w:val="false"/>
          <w:bCs w:val="false"/>
          <w:i w:val="false"/>
          <w:iCs w:val="false"/>
          <w:color w:val="4A4A4A"/>
          <w:sz w:val="22"/>
          <w:szCs w:val="22"/>
        </w:rPr>
        <w:t xml:space="preserve">The Application: The bench convicted on the facts — she killed a man. But sentencing discretion was used to recognise that mercy is not the same as malice. Her professional trust is permanently gone. She can never be a doctor again. But her medical knowledge and recruiting ability are preserved and redirected into civic utility. Twenty-four months of outreach recruiting the next generation of care workers is a better outcome for society than locking a compassionate clinician in a cell.</w:t>
      </w:r>
    </w:p>
    <w:p>
      <w:pPr>
        <w:pBdr>
          <w:left w:val="single" w:color="C0392B" w:sz="6" w:space="8"/>
        </w:pBdr>
        <w:spacing w:after="120" w:before="120" w:line="320"/>
        <w:ind w:left="720" w:right="720"/>
      </w:pPr>
      <w:r>
        <w:rPr>
          <w:rFonts w:ascii="Arial" w:cs="Arial" w:eastAsia="Arial" w:hAnsi="Arial"/>
          <w:i/>
          <w:iCs/>
          <w:color w:val="C0392B"/>
          <w:sz w:val="22"/>
          <w:szCs w:val="22"/>
        </w:rPr>
        <w:t xml:space="preserve">Murder that’s murder for the sake of killing gets time. Murder that’s compassion and quality of life is something for Whitehall to take seriously and not something to ruin someone’s life for.</w:t>
      </w:r>
    </w:p>
    <w:p>
      <w:pPr>
        <w:spacing w:after="100" w:before="100"/>
      </w:pPr>
    </w:p>
    <w:p>
      <w:pPr>
        <w:pStyle w:val="Heading2"/>
        <w:spacing w:after="150" w:before="300"/>
      </w:pPr>
      <w:r>
        <w:rPr>
          <w:rFonts w:ascii="Arial" w:cs="Arial" w:eastAsia="Arial" w:hAnsi="Arial"/>
          <w:b/>
          <w:bCs/>
          <w:color w:val="1B2A4A"/>
          <w:sz w:val="26"/>
          <w:szCs w:val="26"/>
        </w:rPr>
        <w:t xml:space="preserve">10. Every Sentence Must Repair Something or Prevent Something</w:t>
      </w:r>
    </w:p>
    <w:p>
      <w:pPr>
        <w:spacing w:after="100" w:before="200"/>
      </w:pPr>
      <w:r>
        <w:rPr>
          <w:rFonts w:ascii="Arial" w:cs="Arial" w:eastAsia="Arial" w:hAnsi="Arial"/>
          <w:b/>
          <w:bCs/>
          <w:color w:val="C0392B"/>
          <w:sz w:val="22"/>
          <w:szCs w:val="22"/>
        </w:rPr>
        <w:t xml:space="preserve">The Ruling: Amir Bashir</w:t>
      </w:r>
    </w:p>
    <w:p>
      <w:pPr>
        <w:spacing w:after="80" w:before="80" w:line="320"/>
        <w:jc w:val="left"/>
      </w:pPr>
      <w:r>
        <w:rPr>
          <w:rFonts w:ascii="Arial" w:cs="Arial" w:eastAsia="Arial" w:hAnsi="Arial"/>
          <w:b/>
          <w:bCs/>
          <w:color w:val="4A4A4A"/>
          <w:sz w:val="22"/>
          <w:szCs w:val="22"/>
        </w:rPr>
        <w:t xml:space="preserve">R v. Amir Bashir — </w:t>
      </w:r>
      <w:r>
        <w:rPr>
          <w:rFonts w:ascii="Arial" w:cs="Arial" w:eastAsia="Arial" w:hAnsi="Arial"/>
          <w:color w:val="4A4A4A"/>
          <w:sz w:val="22"/>
          <w:szCs w:val="22"/>
        </w:rPr>
        <w:t xml:space="preserve">Aged 34, British-born Muslim taxi driver. Sprayed "NO MIGRANTS" on a town hall wall during a community protest. Carried a claw hammer in his work jacket — a vehicle maintenance tool, never drawn or used. </w:t>
      </w:r>
      <w:r>
        <w:rPr>
          <w:rFonts w:ascii="Arial" w:cs="Arial" w:eastAsia="Arial" w:hAnsi="Arial"/>
          <w:b/>
          <w:bCs/>
          <w:color w:val="4A4A4A"/>
          <w:sz w:val="22"/>
          <w:szCs w:val="22"/>
        </w:rPr>
        <w:t xml:space="preserve">Sentence: 6-month community and rehabilitation order. Defendant to personally repaint the damaged section of the town hall at his own expense under supervision. Offensive weapon charge dismissed with formal warning on record.</w:t>
      </w:r>
    </w:p>
    <w:p>
      <w:pPr>
        <w:spacing w:after="80" w:before="80" w:line="320"/>
        <w:jc w:val="left"/>
      </w:pPr>
      <w:r>
        <w:rPr>
          <w:rFonts w:ascii="Arial" w:cs="Arial" w:eastAsia="Arial" w:hAnsi="Arial"/>
          <w:b w:val="false"/>
          <w:bCs w:val="false"/>
          <w:i w:val="false"/>
          <w:iCs w:val="false"/>
          <w:color w:val="4A4A4A"/>
          <w:sz w:val="22"/>
          <w:szCs w:val="22"/>
        </w:rPr>
        <w:t xml:space="preserve">The Application: The ultimate micro-example of the framework. He broke it, he personally repaints it at his own cost. No wasted cell space. Immediate, visible, physical repair. The hammer charge was dismissed after the bench established that an everyday tool requires proven intent to be classified as an offensive weapon — possession alone is insufficient when the tool has a legitimate professional purpose and was never brandished or used. The formal warning acts as the prevention lever for any future gathering.</w:t>
      </w:r>
    </w:p>
    <w:p>
      <w:r>
        <w:br w:type="page"/>
      </w:r>
    </w:p>
    <w:p>
      <w:pPr>
        <w:pStyle w:val="Heading1"/>
        <w:spacing w:after="200" w:before="400"/>
      </w:pPr>
      <w:r>
        <w:rPr>
          <w:rFonts w:ascii="Arial" w:cs="Arial" w:eastAsia="Arial" w:hAnsi="Arial"/>
          <w:b/>
          <w:bCs/>
          <w:color w:val="1B2A4A"/>
          <w:sz w:val="32"/>
          <w:szCs w:val="32"/>
        </w:rPr>
        <w:t xml:space="preserve">The Anderson Bench: Corporate Harm</w:t>
      </w:r>
    </w:p>
    <w:p>
      <w:pPr>
        <w:pStyle w:val="Heading2"/>
        <w:spacing w:after="150" w:before="300"/>
      </w:pPr>
      <w:r>
        <w:rPr>
          <w:rFonts w:ascii="Arial" w:cs="Arial" w:eastAsia="Arial" w:hAnsi="Arial"/>
          <w:b/>
          <w:bCs/>
          <w:color w:val="1B2A4A"/>
          <w:sz w:val="26"/>
          <w:szCs w:val="26"/>
        </w:rPr>
        <w:t xml:space="preserve">Case 001 — R v. Arthur Vance and Vanguard Petrochemicals</w:t>
      </w:r>
    </w:p>
    <w:p>
      <w:pPr>
        <w:spacing w:after="100" w:before="100"/>
      </w:pPr>
    </w:p>
    <w:p>
      <w:pPr>
        <w:spacing w:after="100" w:before="200"/>
      </w:pPr>
      <w:r>
        <w:rPr>
          <w:rFonts w:ascii="Arial" w:cs="Arial" w:eastAsia="Arial" w:hAnsi="Arial"/>
          <w:b/>
          <w:bCs/>
          <w:color w:val="C0392B"/>
          <w:sz w:val="22"/>
          <w:szCs w:val="22"/>
        </w:rPr>
        <w:t xml:space="preserve">The CHER Framework Applied</w:t>
      </w:r>
    </w:p>
    <w:p>
      <w:pPr>
        <w:spacing w:after="80" w:before="80" w:line="320"/>
        <w:jc w:val="left"/>
      </w:pPr>
      <w:r>
        <w:rPr>
          <w:rFonts w:ascii="Arial" w:cs="Arial" w:eastAsia="Arial" w:hAnsi="Arial"/>
          <w:b/>
          <w:bCs/>
          <w:color w:val="4A4A4A"/>
          <w:sz w:val="22"/>
          <w:szCs w:val="22"/>
        </w:rPr>
        <w:t xml:space="preserve">Cause: </w:t>
      </w:r>
      <w:r>
        <w:rPr>
          <w:rFonts w:ascii="Arial" w:cs="Arial" w:eastAsia="Arial" w:hAnsi="Arial"/>
          <w:color w:val="4A4A4A"/>
          <w:sz w:val="22"/>
          <w:szCs w:val="22"/>
        </w:rPr>
        <w:t xml:space="preserve">A CEO and board authorised dumping untreated carcinogenic industrial waste into a river system over four years to save £42 million in disposal costs. When investigated, the CEO authorised the shredding of internal safety audits and fabrication of compliance logs.</w:t>
      </w:r>
    </w:p>
    <w:p>
      <w:pPr>
        <w:spacing w:after="80" w:before="80" w:line="320"/>
        <w:jc w:val="left"/>
      </w:pPr>
      <w:r>
        <w:rPr>
          <w:rFonts w:ascii="Arial" w:cs="Arial" w:eastAsia="Arial" w:hAnsi="Arial"/>
          <w:b/>
          <w:bCs/>
          <w:color w:val="4A4A4A"/>
          <w:sz w:val="22"/>
          <w:szCs w:val="22"/>
        </w:rPr>
        <w:t xml:space="preserve">Harm: </w:t>
      </w:r>
      <w:r>
        <w:rPr>
          <w:rFonts w:ascii="Arial" w:cs="Arial" w:eastAsia="Arial" w:hAnsi="Arial"/>
          <w:color w:val="4A4A4A"/>
          <w:sz w:val="22"/>
          <w:szCs w:val="22"/>
        </w:rPr>
        <w:t xml:space="preserve">Three children died of rare paediatric cancers directly linked to the contamination. Hundreds of residents face long-term health complications including elevated cancer risk for decades. An entire community’s water supply was poisoned.</w:t>
      </w:r>
    </w:p>
    <w:p>
      <w:pPr>
        <w:spacing w:after="80" w:before="80" w:line="320"/>
        <w:jc w:val="left"/>
      </w:pPr>
      <w:r>
        <w:rPr>
          <w:rFonts w:ascii="Arial" w:cs="Arial" w:eastAsia="Arial" w:hAnsi="Arial"/>
          <w:b/>
          <w:bCs/>
          <w:color w:val="4A4A4A"/>
          <w:sz w:val="22"/>
          <w:szCs w:val="22"/>
        </w:rPr>
        <w:t xml:space="preserve">Effect: </w:t>
      </w:r>
      <w:r>
        <w:rPr>
          <w:rFonts w:ascii="Arial" w:cs="Arial" w:eastAsia="Arial" w:hAnsi="Arial"/>
          <w:color w:val="4A4A4A"/>
          <w:sz w:val="22"/>
          <w:szCs w:val="22"/>
        </w:rPr>
        <w:t xml:space="preserve">Ongoing environmental contamination requiring extensive remediation. Lifetime health monitoring for affected residents. Three families burying their children. Generational health consequences for the downstream community.</w:t>
      </w:r>
    </w:p>
    <w:p>
      <w:pPr>
        <w:spacing w:after="80" w:before="80" w:line="320"/>
        <w:jc w:val="left"/>
      </w:pPr>
      <w:r>
        <w:rPr>
          <w:rFonts w:ascii="Arial" w:cs="Arial" w:eastAsia="Arial" w:hAnsi="Arial"/>
          <w:b/>
          <w:bCs/>
          <w:color w:val="4A4A4A"/>
          <w:sz w:val="22"/>
          <w:szCs w:val="22"/>
        </w:rPr>
        <w:t xml:space="preserve">Restitution: </w:t>
      </w:r>
      <w:r>
        <w:rPr>
          <w:rFonts w:ascii="Arial" w:cs="Arial" w:eastAsia="Arial" w:hAnsi="Arial"/>
          <w:color w:val="4A4A4A"/>
          <w:sz w:val="22"/>
          <w:szCs w:val="22"/>
        </w:rPr>
        <w:t xml:space="preserve">Full asset stripping of the CEO. Corporate absorption into Utilico governance. £42 million directed to river remediation and community health trust. All board members to face individual prosecution.</w:t>
      </w:r>
    </w:p>
    <w:p>
      <w:pPr>
        <w:spacing w:after="100" w:before="100"/>
      </w:pPr>
    </w:p>
    <w:p>
      <w:pPr>
        <w:spacing w:after="100" w:before="200"/>
      </w:pPr>
      <w:r>
        <w:rPr>
          <w:rFonts w:ascii="Arial" w:cs="Arial" w:eastAsia="Arial" w:hAnsi="Arial"/>
          <w:b/>
          <w:bCs/>
          <w:color w:val="C0392B"/>
          <w:sz w:val="22"/>
          <w:szCs w:val="22"/>
        </w:rPr>
        <w:t xml:space="preserve">Sentence — Arthur Vance (CEO)</w:t>
      </w:r>
    </w:p>
    <w:p>
      <w:pPr>
        <w:spacing w:after="80" w:before="80" w:line="320"/>
        <w:jc w:val="left"/>
      </w:pPr>
      <w:r>
        <w:rPr>
          <w:rFonts w:ascii="Arial" w:cs="Arial" w:eastAsia="Arial" w:hAnsi="Arial"/>
          <w:b w:val="false"/>
          <w:bCs w:val="false"/>
          <w:i w:val="false"/>
          <w:iCs w:val="false"/>
          <w:color w:val="4A4A4A"/>
          <w:sz w:val="22"/>
          <w:szCs w:val="22"/>
        </w:rPr>
        <w:t xml:space="preserve">10 years custodial. 10 years mandatory service in end-of-life children’s care upon release. All personal assets — £12 million estate, stock options, liquid holdings — forfeited to the community health and environmental restoration trust. Lifetime ban from holding any corporate directorship or executive position. Fabrication of compliance logs and destruction of evidence treated as aggravating factors within the custodial term.</w:t>
      </w:r>
    </w:p>
    <w:p>
      <w:pPr>
        <w:spacing w:after="100" w:before="100"/>
      </w:pPr>
    </w:p>
    <w:p>
      <w:pPr>
        <w:spacing w:after="100" w:before="200"/>
      </w:pPr>
      <w:r>
        <w:rPr>
          <w:rFonts w:ascii="Arial" w:cs="Arial" w:eastAsia="Arial" w:hAnsi="Arial"/>
          <w:b/>
          <w:bCs/>
          <w:color w:val="C0392B"/>
          <w:sz w:val="22"/>
          <w:szCs w:val="22"/>
        </w:rPr>
        <w:t xml:space="preserve">Sentence — Vanguard Petrochemicals (Corporate Entity)</w:t>
      </w:r>
    </w:p>
    <w:p>
      <w:pPr>
        <w:spacing w:after="80" w:before="80" w:line="320"/>
        <w:jc w:val="left"/>
      </w:pPr>
      <w:r>
        <w:rPr>
          <w:rFonts w:ascii="Arial" w:cs="Arial" w:eastAsia="Arial" w:hAnsi="Arial"/>
          <w:b w:val="false"/>
          <w:bCs w:val="false"/>
          <w:i w:val="false"/>
          <w:iCs w:val="false"/>
          <w:color w:val="4A4A4A"/>
          <w:sz w:val="22"/>
          <w:szCs w:val="22"/>
        </w:rPr>
        <w:t xml:space="preserve">Brought under Utilico governance. All senior leadership and board removed. 3,400 workforce contracts preserved. £42 million in dumping savings directed to full river remediation, community health trust, and long-term cancer screening for all affected residents. All remaining board members to face individual prosecution by the Crown.</w:t>
      </w:r>
    </w:p>
    <w:p>
      <w:pPr>
        <w:spacing w:after="100" w:before="100"/>
      </w:pPr>
    </w:p>
    <w:p>
      <w:pPr>
        <w:pBdr>
          <w:left w:val="single" w:color="C0392B" w:sz="6" w:space="8"/>
        </w:pBdr>
        <w:spacing w:after="120" w:before="120" w:line="320"/>
        <w:ind w:left="720" w:right="720"/>
      </w:pPr>
      <w:r>
        <w:rPr>
          <w:rFonts w:ascii="Arial" w:cs="Arial" w:eastAsia="Arial" w:hAnsi="Arial"/>
          <w:i/>
          <w:iCs/>
          <w:color w:val="C0392B"/>
          <w:sz w:val="22"/>
          <w:szCs w:val="22"/>
        </w:rPr>
        <w:t xml:space="preserve">No company is too big to punish. Some are too important to collapse. That is why BUILD separates the workers from the extractors.</w:t>
      </w:r>
    </w:p>
    <w:p>
      <w:pPr>
        <w:spacing w:after="100" w:before="100"/>
      </w:pPr>
    </w:p>
    <w:p>
      <w:pPr>
        <w:pBdr>
          <w:left w:val="single" w:color="C0392B" w:sz="6" w:space="8"/>
        </w:pBdr>
        <w:spacing w:after="120" w:before="120" w:line="320"/>
        <w:ind w:left="720" w:right="720"/>
      </w:pPr>
      <w:r>
        <w:rPr>
          <w:rFonts w:ascii="Arial" w:cs="Arial" w:eastAsia="Arial" w:hAnsi="Arial"/>
          <w:i/>
          <w:iCs/>
          <w:color w:val="C0392B"/>
          <w:sz w:val="22"/>
          <w:szCs w:val="22"/>
        </w:rPr>
        <w:t xml:space="preserve">The company does not get destroyed. It gets confiscated from the people who abused it. The workers stay. The poisoners go. The profit repairs the damage.</w:t>
      </w:r>
    </w:p>
    <w:p>
      <w:r>
        <w:br w:type="page"/>
      </w:r>
    </w:p>
    <w:p>
      <w:pPr>
        <w:pStyle w:val="Heading1"/>
        <w:spacing w:after="200" w:before="400"/>
      </w:pPr>
      <w:r>
        <w:rPr>
          <w:rFonts w:ascii="Arial" w:cs="Arial" w:eastAsia="Arial" w:hAnsi="Arial"/>
          <w:b/>
          <w:bCs/>
          <w:color w:val="1B2A4A"/>
          <w:sz w:val="32"/>
          <w:szCs w:val="32"/>
        </w:rPr>
        <w:t xml:space="preserve">Summary: The Anderson Bench Record</w:t>
      </w:r>
    </w:p>
    <w:p>
      <w:pPr>
        <w:spacing w:after="100" w:before="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2200"/>
        <w:gridCol w:w="1800"/>
        <w:gridCol w:w="2526"/>
      </w:tblGrid>
      <w:tr>
        <w:tc>
          <w:tcPr>
            <w:tcW w:type="dxa" w:w="25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Defendant</w:t>
            </w:r>
          </w:p>
        </w:tc>
        <w:tc>
          <w:tcPr>
            <w:tcW w:type="dxa" w:w="22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Charge</w:t>
            </w:r>
          </w:p>
        </w:tc>
        <w:tc>
          <w:tcPr>
            <w:tcW w:type="dxa" w:w="1800"/>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Sentence</w:t>
            </w:r>
          </w:p>
        </w:tc>
        <w:tc>
          <w:tcPr>
            <w:tcW w:type="dxa" w:w="2526"/>
            <w:tcBorders>
              <w:top w:val="single" w:color="CCCCCC" w:sz="1"/>
              <w:left w:val="single" w:color="CCCCCC" w:sz="1"/>
              <w:bottom w:val="single" w:color="CCCCCC" w:sz="1"/>
              <w:right w:val="single" w:color="CCCCCC" w:sz="1"/>
            </w:tcBorders>
            <w:shd w:fill="1B2A4A" w:val="clear"/>
            <w:tcMar>
              <w:top w:type="dxa" w:w="80"/>
              <w:left w:type="dxa" w:w="120"/>
              <w:bottom w:type="dxa" w:w="80"/>
              <w:right w:type="dxa" w:w="120"/>
            </w:tcMar>
          </w:tcPr>
          <w:p>
            <w:r>
              <w:rPr>
                <w:rFonts w:ascii="Arial" w:cs="Arial" w:eastAsia="Arial" w:hAnsi="Arial"/>
                <w:b/>
                <w:bCs/>
                <w:color w:val="FFFFFF"/>
                <w:sz w:val="20"/>
                <w:szCs w:val="20"/>
              </w:rPr>
              <w:t xml:space="preserve">Conditions</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Daniel Marsh</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Section 18 GBH</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2 years custodial</w:t>
            </w:r>
          </w:p>
        </w:tc>
        <w:tc>
          <w:tcPr>
            <w:tcW w:type="dxa" w:w="25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Outreach, damages, NHS costs repaid</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Sophie Tenant</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Section 20 GBH, perverting justice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4 years custodial</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CRB voided, outreach</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Marcus Draper</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Sexual assault on minors, SHPO breach</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20 years (revised up)</w:t>
            </w:r>
          </w:p>
        </w:tc>
        <w:tc>
          <w:tcPr>
            <w:tcW w:type="dxa" w:w="25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Specialist institution, permanent register, lifetime tech ban, 2x weekly reporting, auto-recommittal</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Tyler Garrick</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Aggravated public-endangerment homicide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30 years custodial</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Outreach and work programmes</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Leanne Garrick</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Perverting the course of justice</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6 months reform institute</w:t>
            </w:r>
          </w:p>
        </w:tc>
        <w:tc>
          <w:tcPr>
            <w:tcW w:type="dxa" w:w="25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Child in short-term care, weekly visits</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James Okafor</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Manslaughter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20 years Cat D open</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Family visitation, church work, youth outreach</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Helen Marsh</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Charges dismissed</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12-month community order</w:t>
            </w:r>
          </w:p>
        </w:tc>
        <w:tc>
          <w:tcPr>
            <w:tcW w:type="dxa" w:w="25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18-month protest organising restriction</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Craig Dunne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Violent disorder, assault on officer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12 months Cat D open</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Full disability assessment, vocational programme, supported employment</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Amir Bashir</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Criminal damage</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6-month community order</w:t>
            </w:r>
          </w:p>
        </w:tc>
        <w:tc>
          <w:tcPr>
            <w:tcW w:type="dxa" w:w="25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Personally repaints building, hammer warning on record</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Natalie Corwen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Fraud, money laundering, misconduct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No custody</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Public office ban, 5% wage deduction, 4 properties forfeited, 5 years frontline care, lifetime financial oversight</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Dr Erin Shawe</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Murder (compassion)</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No custody</w:t>
            </w:r>
          </w:p>
        </w:tc>
        <w:tc>
          <w:tcPr>
            <w:tcW w:type="dxa" w:w="25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Licence permanently revoked, 24-month outreach in care recruitment</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Arthur Vance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Corporate manslaughter, fraud, evidence destruction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10 years + 10 years EOL care</w:t>
            </w:r>
          </w:p>
        </w:tc>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4A4A4A"/>
                <w:sz w:val="18"/>
                <w:szCs w:val="18"/>
              </w:rPr>
              <w:t xml:space="preserve">All assets forfeited, lifetime corporate ban</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Vanguard Petrochemicals</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Corporate manslaughter, environmental offences</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Brought under Utilico</w:t>
            </w:r>
          </w:p>
        </w:tc>
        <w:tc>
          <w:tcPr>
            <w:tcW w:type="dxa" w:w="2526"/>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4A4A4A"/>
                <w:sz w:val="18"/>
                <w:szCs w:val="18"/>
              </w:rPr>
              <w:t xml:space="preserve">Board removed, 3,400 jobs preserved, £42m to remediation</w:t>
            </w:r>
          </w:p>
        </w:tc>
      </w:tr>
    </w:tbl>
    <w:p>
      <w:r>
        <w:br w:type="page"/>
      </w:r>
    </w:p>
    <w:p>
      <w:pPr>
        <w:pStyle w:val="Heading1"/>
        <w:spacing w:after="200" w:before="400"/>
      </w:pPr>
      <w:r>
        <w:rPr>
          <w:rFonts w:ascii="Arial" w:cs="Arial" w:eastAsia="Arial" w:hAnsi="Arial"/>
          <w:b/>
          <w:bCs/>
          <w:color w:val="1B2A4A"/>
          <w:sz w:val="32"/>
          <w:szCs w:val="32"/>
        </w:rPr>
        <w:t xml:space="preserve">Systemic Position</w:t>
      </w:r>
    </w:p>
    <w:p>
      <w:pPr>
        <w:spacing w:after="80" w:before="80" w:line="320"/>
        <w:jc w:val="left"/>
      </w:pPr>
      <w:r>
        <w:rPr>
          <w:rFonts w:ascii="Arial" w:cs="Arial" w:eastAsia="Arial" w:hAnsi="Arial"/>
          <w:b w:val="false"/>
          <w:bCs w:val="false"/>
          <w:i w:val="false"/>
          <w:iCs w:val="false"/>
          <w:color w:val="4A4A4A"/>
          <w:sz w:val="22"/>
          <w:szCs w:val="22"/>
        </w:rPr>
        <w:t xml:space="preserve">The Anderson Bench establishes a justice system that replaces standardised sentencing with functional sentencing. The natural legal tension this framework faces is a battle over judicial discretion. Traditional legal systems prefer rigid guidelines so that every defendant receives the same cookie-cutter sentence. This framework gives the judge substantial power to engineer sentences based on what society needs back from the offender.</w:t>
      </w:r>
    </w:p>
    <w:p>
      <w:pPr>
        <w:spacing w:after="80" w:before="80" w:line="320"/>
        <w:jc w:val="left"/>
      </w:pPr>
      <w:r>
        <w:rPr>
          <w:rFonts w:ascii="Arial" w:cs="Arial" w:eastAsia="Arial" w:hAnsi="Arial"/>
          <w:b w:val="false"/>
          <w:bCs w:val="false"/>
          <w:i w:val="false"/>
          <w:iCs w:val="false"/>
          <w:color w:val="4A4A4A"/>
          <w:sz w:val="22"/>
          <w:szCs w:val="22"/>
        </w:rPr>
        <w:t xml:space="preserve">The counter to the discretion challenge is built into the record itself. Across eleven cases with thirteen defendants — from a pub fight to corporate mass poisoning — the principles remained consistent while the methods of delivery were tailored. The principles are rigid. The application is flexible. Consistency of philosophy, not consistency of numbers.</w:t>
      </w:r>
    </w:p>
    <w:p>
      <w:pPr>
        <w:spacing w:after="100" w:before="100"/>
      </w:pPr>
    </w:p>
    <w:p>
      <w:pPr>
        <w:pStyle w:val="Heading2"/>
        <w:spacing w:after="150" w:before="300"/>
      </w:pPr>
      <w:r>
        <w:rPr>
          <w:rFonts w:ascii="Arial" w:cs="Arial" w:eastAsia="Arial" w:hAnsi="Arial"/>
          <w:b/>
          <w:bCs/>
          <w:color w:val="1B2A4A"/>
          <w:sz w:val="26"/>
          <w:szCs w:val="26"/>
        </w:rPr>
        <w:t xml:space="preserve">Policy Mechanisms Demonstrated</w:t>
      </w:r>
    </w:p>
    <w:p>
      <w:pPr>
        <w:spacing w:after="80" w:before="80" w:line="320"/>
        <w:jc w:val="left"/>
      </w:pPr>
      <w:r>
        <w:rPr>
          <w:rFonts w:ascii="Arial" w:cs="Arial" w:eastAsia="Arial" w:hAnsi="Arial"/>
          <w:b w:val="false"/>
          <w:bCs w:val="false"/>
          <w:i w:val="false"/>
          <w:iCs w:val="false"/>
          <w:color w:val="4A4A4A"/>
          <w:sz w:val="22"/>
          <w:szCs w:val="22"/>
        </w:rPr>
        <w:t xml:space="preserve">Retrospective upward sentencing review: The Marcus Draper case established that sentences can be increased when found inconsistent with comparable cases through a formal judicial review process, mirroring and expanding the existing Unduly Lenient Sentence scheme.</w:t>
      </w:r>
    </w:p>
    <w:p>
      <w:pPr>
        <w:spacing w:after="80" w:before="80" w:line="320"/>
        <w:jc w:val="left"/>
      </w:pPr>
      <w:r>
        <w:rPr>
          <w:rFonts w:ascii="Arial" w:cs="Arial" w:eastAsia="Arial" w:hAnsi="Arial"/>
          <w:b w:val="false"/>
          <w:bCs w:val="false"/>
          <w:i w:val="false"/>
          <w:iCs w:val="false"/>
          <w:color w:val="4A4A4A"/>
          <w:sz w:val="22"/>
          <w:szCs w:val="22"/>
        </w:rPr>
        <w:t xml:space="preserve">Utilico as a judicial tool: The Vanguard Petrochemicals case demonstrated that Utilico is not merely a governance theory but a sentencing instrument. When a private company proves incapable of operating without causing mass harm, the state does not destroy it and scatter the workforce. It absorbs the entity, strips the leadership, protects the jobs, and directs the profits toward restitution.</w:t>
      </w:r>
    </w:p>
    <w:p>
      <w:pPr>
        <w:spacing w:after="80" w:before="80" w:line="320"/>
        <w:jc w:val="left"/>
      </w:pPr>
      <w:r>
        <w:rPr>
          <w:rFonts w:ascii="Arial" w:cs="Arial" w:eastAsia="Arial" w:hAnsi="Arial"/>
          <w:b w:val="false"/>
          <w:bCs w:val="false"/>
          <w:i w:val="false"/>
          <w:iCs w:val="false"/>
          <w:color w:val="4A4A4A"/>
          <w:sz w:val="22"/>
          <w:szCs w:val="22"/>
        </w:rPr>
        <w:t xml:space="preserve">Mandatory body-worn camera evidence: In the Craig Dunne case, the bench identified the need for mandatory submission of all officer body-worn camera footage in any assault-on-emergency-worker charge, with investigation protocols for deleted or missing footage. This protects both defendants from false charges and officers from false assumptions.</w:t>
      </w:r>
    </w:p>
    <w:p>
      <w:pPr>
        <w:spacing w:after="80" w:before="80" w:line="320"/>
        <w:jc w:val="left"/>
      </w:pPr>
      <w:r>
        <w:rPr>
          <w:rFonts w:ascii="Arial" w:cs="Arial" w:eastAsia="Arial" w:hAnsi="Arial"/>
          <w:b w:val="false"/>
          <w:bCs w:val="false"/>
          <w:i w:val="false"/>
          <w:iCs w:val="false"/>
          <w:color w:val="4A4A4A"/>
          <w:sz w:val="22"/>
          <w:szCs w:val="22"/>
        </w:rPr>
        <w:t xml:space="preserve">Prison categories as sentencing tools: The framework uses prison categories — Cat D open, reform institutes, specialist institutions — as deliberate sentencing instruments matched to the offender and offence, rather than management tools for overcrowding.</w:t>
      </w:r>
    </w:p>
    <w:p>
      <w:pPr>
        <w:spacing w:after="100" w:before="100"/>
      </w:pPr>
    </w:p>
    <w:p>
      <w:pPr>
        <w:pStyle w:val="Heading2"/>
        <w:spacing w:after="150" w:before="300"/>
      </w:pPr>
      <w:r>
        <w:rPr>
          <w:rFonts w:ascii="Arial" w:cs="Arial" w:eastAsia="Arial" w:hAnsi="Arial"/>
          <w:b/>
          <w:bCs/>
          <w:color w:val="1B2A4A"/>
          <w:sz w:val="26"/>
          <w:szCs w:val="26"/>
        </w:rPr>
        <w:t xml:space="preserve">The Position on Overcrowding</w:t>
      </w:r>
    </w:p>
    <w:p>
      <w:pPr>
        <w:spacing w:after="80" w:before="80" w:line="320"/>
        <w:jc w:val="left"/>
      </w:pPr>
      <w:r>
        <w:rPr>
          <w:rFonts w:ascii="Arial" w:cs="Arial" w:eastAsia="Arial" w:hAnsi="Arial"/>
          <w:b w:val="false"/>
          <w:bCs w:val="false"/>
          <w:i w:val="false"/>
          <w:iCs w:val="false"/>
          <w:color w:val="4A4A4A"/>
          <w:sz w:val="22"/>
          <w:szCs w:val="22"/>
        </w:rPr>
        <w:t xml:space="preserve">Prison overcrowding is never an acceptable reason to reduce or suspend a sentence for a dangerous offender. The Anderson Bench addresses overcrowding at the root: full sentencing eliminates the revolving door. When sentences are served in full, the population stabilises and capacity can be planned. The answer to overcrowding is building capacity, not releasing predators.</w:t>
      </w:r>
    </w:p>
    <w:p>
      <w:pPr>
        <w:spacing w:after="100" w:before="100"/>
      </w:pPr>
    </w:p>
    <w:p>
      <w:pPr>
        <w:pStyle w:val="Heading2"/>
        <w:spacing w:after="150" w:before="300"/>
      </w:pPr>
      <w:r>
        <w:rPr>
          <w:rFonts w:ascii="Arial" w:cs="Arial" w:eastAsia="Arial" w:hAnsi="Arial"/>
          <w:b/>
          <w:bCs/>
          <w:color w:val="1B2A4A"/>
          <w:sz w:val="26"/>
          <w:szCs w:val="26"/>
        </w:rPr>
        <w:t xml:space="preserve">The Position on Equal Sentencing</w:t>
      </w:r>
    </w:p>
    <w:p>
      <w:pPr>
        <w:spacing w:after="80" w:before="80" w:line="320"/>
        <w:jc w:val="left"/>
      </w:pPr>
      <w:r>
        <w:rPr>
          <w:rFonts w:ascii="Arial" w:cs="Arial" w:eastAsia="Arial" w:hAnsi="Arial"/>
          <w:b w:val="false"/>
          <w:bCs w:val="false"/>
          <w:i w:val="false"/>
          <w:iCs w:val="false"/>
          <w:color w:val="4A4A4A"/>
          <w:sz w:val="22"/>
          <w:szCs w:val="22"/>
        </w:rPr>
        <w:t xml:space="preserve">Sentencing is blind to gender, background, wealth, and status. A woman who fractures a man’s skull receives a proportionate sentence regardless of claims of prior abuse. A CEO receives a sentence proportionate to the harm caused regardless of economic consequences. The only variables that shape the sentence are the ten principles themselves.</w:t>
      </w:r>
    </w:p>
    <w:p>
      <w:pPr>
        <w:spacing w:after="100" w:before="100"/>
      </w:pPr>
    </w:p>
    <w:p>
      <w:pPr>
        <w:spacing w:after="100" w:before="100"/>
      </w:pPr>
    </w:p>
    <w:p>
      <w:pPr>
        <w:pBdr>
          <w:top w:val="single" w:color="1B2A4A" w:sz="2" w:space="12"/>
        </w:pBdr>
        <w:spacing w:after="100" w:before="400"/>
        <w:jc w:val="center"/>
      </w:pPr>
      <w:r>
        <w:rPr>
          <w:rFonts w:ascii="Arial" w:cs="Arial" w:eastAsia="Arial" w:hAnsi="Arial"/>
          <w:b/>
          <w:bCs/>
          <w:color w:val="1B2A4A"/>
          <w:sz w:val="26"/>
          <w:szCs w:val="26"/>
        </w:rPr>
        <w:t xml:space="preserve">Person  •  Cause  •  Action  •  Restore</w:t>
      </w:r>
    </w:p>
    <w:p>
      <w:pPr>
        <w:spacing w:after="100"/>
        <w:jc w:val="center"/>
      </w:pPr>
      <w:r>
        <w:rPr>
          <w:rFonts w:ascii="Arial" w:cs="Arial" w:eastAsia="Arial" w:hAnsi="Arial"/>
          <w:b/>
          <w:bCs/>
          <w:color w:val="C0392B"/>
          <w:sz w:val="26"/>
          <w:szCs w:val="26"/>
        </w:rPr>
        <w:t xml:space="preserve">Cause  •  Harm  •  Effect  •  Restitution</w:t>
      </w:r>
    </w:p>
    <w:p>
      <w:pPr>
        <w:spacing w:after="200"/>
        <w:jc w:val="center"/>
      </w:pPr>
      <w:r>
        <w:rPr>
          <w:rFonts w:ascii="Arial" w:cs="Arial" w:eastAsia="Arial" w:hAnsi="Arial"/>
          <w:color w:val="4A4A4A"/>
          <w:sz w:val="22"/>
          <w:szCs w:val="22"/>
        </w:rPr>
        <w:t xml:space="preserve">BUILD UK  •  builduk.club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B2A4A"/>
      <w:sz w:val="32"/>
      <w:szCs w:val="32"/>
    </w:rPr>
  </w:style>
  <w:style w:type="paragraph" w:styleId="Heading2">
    <w:name w:val="Heading 2"/>
    <w:basedOn w:val="Normal"/>
    <w:next w:val="Normal"/>
    <w:qFormat/>
    <w:pPr>
      <w:spacing w:after="150" w:before="300"/>
      <w:outlineLvl w:val="1"/>
    </w:pPr>
    <w:rPr>
      <w:rFonts w:ascii="Arial" w:cs="Arial" w:eastAsia="Arial" w:hAnsi="Arial"/>
      <w:b/>
      <w:bCs/>
      <w:color w:val="1B2A4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2026-06-25T12:14:20.940Z</dcterms:created>
  <dcterms:modified xsi:type="dcterms:W3CDTF">2026-06-25T12:14:20.941Z</dcterms:modified>
</cp:coreProperties>
</file>

<file path=docProps/custom.xml><?xml version="1.0" encoding="utf-8"?>
<Properties xmlns="http://schemas.openxmlformats.org/officeDocument/2006/custom-properties" xmlns:vt="http://schemas.openxmlformats.org/officeDocument/2006/docPropsVTypes"/>
</file>