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rFonts w:ascii="Arial" w:cs="Arial" w:eastAsia="Arial" w:hAnsi="Arial"/>
          <w:b/>
          <w:bCs/>
          <w:sz w:val="44"/>
          <w:szCs w:val="44"/>
        </w:rPr>
        <w:t xml:space="preserve">NATIONAL RESTORATION STRATEGY ACT</w:t>
      </w:r>
    </w:p>
    <w:p>
      <w:pPr>
        <w:spacing w:after="100"/>
        <w:jc w:val="center"/>
      </w:pPr>
      <w:r>
        <w:rPr>
          <w:sz w:val="32"/>
          <w:szCs w:val="32"/>
        </w:rPr>
        <w:t xml:space="preserve">—</w:t>
      </w:r>
    </w:p>
    <w:p>
      <w:pPr>
        <w:spacing w:after="100"/>
        <w:jc w:val="center"/>
      </w:pPr>
      <w:r>
        <w:rPr>
          <w:rFonts w:ascii="Arial" w:cs="Arial" w:eastAsia="Arial" w:hAnsi="Arial"/>
          <w:b/>
          <w:bCs/>
          <w:sz w:val="40"/>
          <w:szCs w:val="40"/>
        </w:rPr>
        <w:t xml:space="preserve">HUMAN EMPLOYMENT DOCTRINE</w:t>
      </w:r>
    </w:p>
    <w:p>
      <w:pPr>
        <w:spacing w:after="100"/>
        <w:jc w:val="center"/>
      </w:pPr>
      <w:r>
        <w:rPr>
          <w:rFonts w:ascii="Arial" w:cs="Arial" w:eastAsia="Arial" w:hAnsi="Arial"/>
          <w:b/>
          <w:bCs/>
          <w:color w:val="555555"/>
          <w:sz w:val="28"/>
          <w:szCs w:val="28"/>
        </w:rPr>
        <w:t xml:space="preserve">SCHEDULE 7: WORK, WAGES &amp; WORKER DIGNITY</w:t>
      </w:r>
    </w:p>
    <w:p>
      <w:pPr>
        <w:spacing w:after="400"/>
        <w:jc w:val="center"/>
      </w:pPr>
      <w:r>
        <w:rPr>
          <w:i/>
          <w:iCs/>
          <w:color w:val="666666"/>
          <w:sz w:val="24"/>
          <w:szCs w:val="24"/>
        </w:rPr>
        <w:t xml:space="preserve">"No Profit Before Service — No Service Without Dignity"</w:t>
      </w:r>
    </w:p>
    <w:p>
      <w:pPr>
        <w:pStyle w:val="Heading1"/>
      </w:pPr>
      <w:r>
        <w:t xml:space="preserve">PREAMBLE</w:t>
      </w:r>
    </w:p>
    <w:p>
      <w:pPr>
        <w:spacing w:after="200"/>
      </w:pPr>
      <w:r>
        <w:t xml:space="preserve">The current employment model in the United Kingdom is not a labour market. It is a compliance system with a payslip. Workers are treated as disposable resources, subjected to zero-hours exploitation, salaried servitude, performative appraisals, and a benefits floor so low it fails to sustain basic human life.</w:t>
      </w:r>
    </w:p>
    <w:p>
      <w:pPr>
        <w:spacing w:after="200"/>
      </w:pPr>
      <w:r>
        <w:t xml:space="preserve">This Doctrine replaces the existing framework in its entirety. It establishes a new covenant between employer and worker founded on a single principle: work exists to sustain life, not to extract from it. Adults will be treated as adults. Output matters, not hours observed. Every worker is a human being first and an employee second.</w:t>
      </w:r>
    </w:p>
    <w:p>
      <w:pPr>
        <w:spacing w:after="200"/>
      </w:pPr>
      <w:r>
        <w:t xml:space="preserve">This Doctrine applies to all employers operating within the United Kingdom, without exception. There are no opt-outs, no transitional exemptions, and no sector carve-outs.</w:t>
      </w:r>
    </w:p>
    <w:p>
      <w:pPr>
        <w:pStyle w:val="Heading1"/>
      </w:pPr>
      <w:r>
        <w:t xml:space="preserve">PART I: ABOLITION OF SALARIED EXPLOITATION</w:t>
      </w:r>
    </w:p>
    <w:p>
      <w:pPr>
        <w:pStyle w:val="Heading2"/>
      </w:pPr>
      <w:r>
        <w:t xml:space="preserve">1. Hourly and Daily Pay Standard</w:t>
      </w:r>
    </w:p>
    <w:p>
      <w:pPr>
        <w:spacing w:after="200"/>
      </w:pPr>
      <w:r>
        <w:t xml:space="preserve">All employment contracts under this Doctrine shall be paid on an hourly basis, calculated and visible on a daily and weekly cycle. The practice of annual salaried contracts is abolished for the purposes of standard employment.</w:t>
      </w:r>
    </w:p>
    <w:p>
      <w:pPr>
        <w:pStyle w:val="ListParagraph"/>
        <w:numPr>
          <w:ilvl w:val="0"/>
          <w:numId w:val="2"/>
        </w:numPr>
        <w:spacing w:after="120"/>
      </w:pPr>
      <w:r>
        <w:t xml:space="preserve">All workers shall be paid per hour worked. No hour of labour shall go uncompensated.</w:t>
      </w:r>
    </w:p>
    <w:p>
      <w:pPr>
        <w:pStyle w:val="ListParagraph"/>
        <w:numPr>
          <w:ilvl w:val="0"/>
          <w:numId w:val="2"/>
        </w:numPr>
        <w:spacing w:after="120"/>
      </w:pPr>
      <w:r>
        <w:t xml:space="preserve">Weekly pay statements shall show: total hours worked, hourly rate, daily totals, gross pay, and all deductions itemised.</w:t>
      </w:r>
    </w:p>
    <w:p>
      <w:pPr>
        <w:pStyle w:val="ListParagraph"/>
        <w:numPr>
          <w:ilvl w:val="0"/>
          <w:numId w:val="2"/>
        </w:numPr>
        <w:spacing w:after="120"/>
      </w:pPr>
      <w:r>
        <w:t xml:space="preserve">No employer may require, request, or incentivise work beyond recorded and paid hours. Unpaid overtime is wage theft and shall be prosecuted as such.</w:t>
      </w:r>
    </w:p>
    <w:p>
      <w:pPr>
        <w:pStyle w:val="ListParagraph"/>
        <w:numPr>
          <w:ilvl w:val="0"/>
          <w:numId w:val="2"/>
        </w:numPr>
        <w:spacing w:after="200"/>
      </w:pPr>
      <w:r>
        <w:t xml:space="preserve">Any worker present at the employer’s request or on the employer’s premises for work purposes is on the clock. Travel between sites during a working period is on the clock. “Team building,” mandatory social events, and required training are on the clock.</w:t>
      </w:r>
    </w:p>
    <w:p>
      <w:pPr>
        <w:pStyle w:val="Heading2"/>
      </w:pPr>
      <w:r>
        <w:t xml:space="preserve">2. Wage Floor Structure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999999" w:sz="1"/>
              <w:left w:val="single" w:color="999999" w:sz="1"/>
              <w:bottom w:val="single" w:color="999999" w:sz="1"/>
              <w:right w:val="single" w:color="999999" w:sz="1"/>
            </w:tcBorders>
            <w:shd w:fill="1a1a1a" w:val="clear"/>
            <w:tcMar>
              <w:top w:type="dxa" w:w="80"/>
              <w:left w:type="dxa" w:w="120"/>
              <w:bottom w:type="dxa" w:w="80"/>
              <w:right w:type="dxa" w:w="120"/>
            </w:tcMar>
          </w:tcPr>
          <w:p>
            <w:r>
              <w:rPr>
                <w:b/>
                <w:bCs/>
                <w:color w:val="FFFFFF"/>
                <w:sz w:val="22"/>
                <w:szCs w:val="22"/>
              </w:rPr>
              <w:t xml:space="preserve">Category</w:t>
            </w:r>
          </w:p>
        </w:tc>
        <w:tc>
          <w:tcPr>
            <w:tcW w:type="dxa" w:w="4513"/>
            <w:tcBorders>
              <w:top w:val="single" w:color="999999" w:sz="1"/>
              <w:left w:val="single" w:color="999999" w:sz="1"/>
              <w:bottom w:val="single" w:color="999999" w:sz="1"/>
              <w:right w:val="single" w:color="999999" w:sz="1"/>
            </w:tcBorders>
            <w:shd w:fill="1a1a1a" w:val="clear"/>
            <w:tcMar>
              <w:top w:type="dxa" w:w="80"/>
              <w:left w:type="dxa" w:w="120"/>
              <w:bottom w:type="dxa" w:w="80"/>
              <w:right w:type="dxa" w:w="120"/>
            </w:tcMar>
          </w:tcPr>
          <w:p>
            <w:r>
              <w:rPr>
                <w:b/>
                <w:bCs/>
                <w:color w:val="FFFFFF"/>
                <w:sz w:val="22"/>
                <w:szCs w:val="22"/>
              </w:rPr>
              <w:t xml:space="preserve">Minimum Hourly Rate</w:t>
            </w:r>
          </w:p>
        </w:tc>
      </w:tr>
      <w:tr>
        <w:tc>
          <w:tcPr>
            <w:tcW w:type="dxa" w:w="4513"/>
            <w:tcBorders>
              <w:top w:val="single" w:color="999999" w:sz="1"/>
              <w:left w:val="single" w:color="999999" w:sz="1"/>
              <w:bottom w:val="single" w:color="999999" w:sz="1"/>
              <w:right w:val="single" w:color="999999" w:sz="1"/>
            </w:tcBorders>
            <w:tcMar>
              <w:top w:type="dxa" w:w="80"/>
              <w:left w:type="dxa" w:w="120"/>
              <w:bottom w:type="dxa" w:w="80"/>
              <w:right w:type="dxa" w:w="120"/>
            </w:tcMar>
          </w:tcPr>
          <w:p>
            <w:r>
              <w:rPr>
                <w:sz w:val="22"/>
                <w:szCs w:val="22"/>
              </w:rPr>
              <w:t xml:space="preserve">Emergency Services (Police, Fire, Ambulance, NHS Front-line)</w:t>
            </w:r>
          </w:p>
        </w:tc>
        <w:tc>
          <w:tcPr>
            <w:tcW w:type="dxa" w:w="4513"/>
            <w:tcBorders>
              <w:top w:val="single" w:color="999999" w:sz="1"/>
              <w:left w:val="single" w:color="999999" w:sz="1"/>
              <w:bottom w:val="single" w:color="999999" w:sz="1"/>
              <w:right w:val="single" w:color="999999" w:sz="1"/>
            </w:tcBorders>
            <w:tcMar>
              <w:top w:type="dxa" w:w="80"/>
              <w:left w:type="dxa" w:w="120"/>
              <w:bottom w:type="dxa" w:w="80"/>
              <w:right w:type="dxa" w:w="120"/>
            </w:tcMar>
          </w:tcPr>
          <w:p>
            <w:r>
              <w:rPr>
                <w:b/>
                <w:bCs/>
                <w:sz w:val="22"/>
                <w:szCs w:val="22"/>
              </w:rPr>
              <w:t xml:space="preserve">£25.00/hr</w:t>
            </w:r>
          </w:p>
        </w:tc>
      </w:tr>
      <w:tr>
        <w:tc>
          <w:tcPr>
            <w:tcW w:type="dxa" w:w="4513"/>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sz w:val="22"/>
                <w:szCs w:val="22"/>
              </w:rPr>
              <w:t xml:space="preserve">Skilled Workers (All Sectors)</w:t>
            </w:r>
          </w:p>
        </w:tc>
        <w:tc>
          <w:tcPr>
            <w:tcW w:type="dxa" w:w="4513"/>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b/>
                <w:bCs/>
                <w:sz w:val="22"/>
                <w:szCs w:val="22"/>
              </w:rPr>
              <w:t xml:space="preserve">£20.00/hr</w:t>
            </w:r>
          </w:p>
        </w:tc>
      </w:tr>
      <w:tr>
        <w:tc>
          <w:tcPr>
            <w:tcW w:type="dxa" w:w="4513"/>
            <w:tcBorders>
              <w:top w:val="single" w:color="999999" w:sz="1"/>
              <w:left w:val="single" w:color="999999" w:sz="1"/>
              <w:bottom w:val="single" w:color="999999" w:sz="1"/>
              <w:right w:val="single" w:color="999999" w:sz="1"/>
            </w:tcBorders>
            <w:tcMar>
              <w:top w:type="dxa" w:w="80"/>
              <w:left w:type="dxa" w:w="120"/>
              <w:bottom w:type="dxa" w:w="80"/>
              <w:right w:type="dxa" w:w="120"/>
            </w:tcMar>
          </w:tcPr>
          <w:p>
            <w:r>
              <w:rPr>
                <w:sz w:val="22"/>
                <w:szCs w:val="22"/>
              </w:rPr>
              <w:t xml:space="preserve">Hospitality &amp; Service (Deliberate Suppression of Fast Food Sector)</w:t>
            </w:r>
          </w:p>
        </w:tc>
        <w:tc>
          <w:tcPr>
            <w:tcW w:type="dxa" w:w="4513"/>
            <w:tcBorders>
              <w:top w:val="single" w:color="999999" w:sz="1"/>
              <w:left w:val="single" w:color="999999" w:sz="1"/>
              <w:bottom w:val="single" w:color="999999" w:sz="1"/>
              <w:right w:val="single" w:color="999999" w:sz="1"/>
            </w:tcBorders>
            <w:tcMar>
              <w:top w:type="dxa" w:w="80"/>
              <w:left w:type="dxa" w:w="120"/>
              <w:bottom w:type="dxa" w:w="80"/>
              <w:right w:type="dxa" w:w="120"/>
            </w:tcMar>
          </w:tcPr>
          <w:p>
            <w:r>
              <w:rPr>
                <w:b/>
                <w:bCs/>
                <w:sz w:val="22"/>
                <w:szCs w:val="22"/>
              </w:rPr>
              <w:t xml:space="preserve">£17.00/hr</w:t>
            </w:r>
          </w:p>
        </w:tc>
      </w:tr>
      <w:tr>
        <w:tc>
          <w:tcPr>
            <w:tcW w:type="dxa" w:w="4513"/>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sz w:val="22"/>
                <w:szCs w:val="22"/>
              </w:rPr>
              <w:t xml:space="preserve">Carers (Professional and Familial)</w:t>
            </w:r>
          </w:p>
        </w:tc>
        <w:tc>
          <w:tcPr>
            <w:tcW w:type="dxa" w:w="4513"/>
            <w:tcBorders>
              <w:top w:val="single" w:color="999999" w:sz="1"/>
              <w:left w:val="single" w:color="999999" w:sz="1"/>
              <w:bottom w:val="single" w:color="999999" w:sz="1"/>
              <w:right w:val="single" w:color="999999" w:sz="1"/>
            </w:tcBorders>
            <w:shd w:fill="F5F5F5" w:val="clear"/>
            <w:tcMar>
              <w:top w:type="dxa" w:w="80"/>
              <w:left w:type="dxa" w:w="120"/>
              <w:bottom w:type="dxa" w:w="80"/>
              <w:right w:type="dxa" w:w="120"/>
            </w:tcMar>
          </w:tcPr>
          <w:p>
            <w:r>
              <w:rPr>
                <w:b/>
                <w:bCs/>
                <w:sz w:val="22"/>
                <w:szCs w:val="22"/>
              </w:rPr>
              <w:t xml:space="preserve">£500/week (equivalent £12.50/hr for 40hrs)</w:t>
            </w:r>
          </w:p>
        </w:tc>
      </w:tr>
    </w:tbl>
    <w:p>
      <w:pPr>
        <w:spacing w:after="200"/>
      </w:pPr>
      <w:r>
        <w:t xml:space="preserve"/>
      </w:r>
    </w:p>
    <w:p>
      <w:pPr>
        <w:pStyle w:val="Heading2"/>
      </w:pPr>
      <w:r>
        <w:t xml:space="preserve">3. Guaranteed Annual Wage Rise</w:t>
      </w:r>
    </w:p>
    <w:p>
      <w:pPr>
        <w:pStyle w:val="ListParagraph"/>
        <w:numPr>
          <w:ilvl w:val="0"/>
          <w:numId w:val="3"/>
        </w:numPr>
        <w:spacing w:after="120"/>
      </w:pPr>
      <w:r>
        <w:t xml:space="preserve">All hourly rates shall increase by a minimum of 5% per calendar year, applied automatically on 1st April. This is a floor, not a ceiling.</w:t>
      </w:r>
    </w:p>
    <w:p>
      <w:pPr>
        <w:pStyle w:val="ListParagraph"/>
        <w:numPr>
          <w:ilvl w:val="0"/>
          <w:numId w:val="3"/>
        </w:numPr>
        <w:spacing w:after="120"/>
      </w:pPr>
      <w:r>
        <w:t xml:space="preserve">This rise is non-negotiable, non-discretionary, and not contingent on performance review, appraisal outcome, or employer profitability.</w:t>
      </w:r>
    </w:p>
    <w:p>
      <w:pPr>
        <w:pStyle w:val="ListParagraph"/>
        <w:numPr>
          <w:ilvl w:val="0"/>
          <w:numId w:val="3"/>
        </w:numPr>
        <w:spacing w:after="120"/>
      </w:pPr>
      <w:r>
        <w:t xml:space="preserve">The performance appraisal system as a mechanism for determining pay is abolished. Employers may conduct development conversations at the worker’s request, but these shall have no bearing on compensation.</w:t>
      </w:r>
    </w:p>
    <w:p>
      <w:pPr>
        <w:pStyle w:val="ListParagraph"/>
        <w:numPr>
          <w:ilvl w:val="0"/>
          <w:numId w:val="3"/>
        </w:numPr>
        <w:spacing w:after="200"/>
      </w:pPr>
      <w:r>
        <w:t xml:space="preserve">Any employer failing to apply the 5% floor shall be liable for the shortfall plus a penalty of 200% of the unpaid amount per affected worker.</w:t>
      </w:r>
    </w:p>
    <w:p>
      <w:r>
        <w:br w:type="page"/>
      </w:r>
    </w:p>
    <w:p>
      <w:pPr>
        <w:pStyle w:val="Heading1"/>
      </w:pPr>
      <w:r>
        <w:t xml:space="preserve">PART II: FLEXIBLE HUMAN SCHEDULING</w:t>
      </w:r>
    </w:p>
    <w:p>
      <w:pPr>
        <w:pStyle w:val="Heading2"/>
      </w:pPr>
      <w:r>
        <w:t xml:space="preserve">4. Abolition of Fixed Working Hours</w:t>
      </w:r>
    </w:p>
    <w:p>
      <w:pPr>
        <w:spacing w:after="200"/>
      </w:pPr>
      <w:r>
        <w:t xml:space="preserve">The 9-to-5 working day is abolished as a default expectation. No employer may mandate fixed start and end times unless the nature of the role requires specific physical presence at specific times (e.g., surgery, live emergency response), and even then, shift patterns must offer genuine choice.</w:t>
      </w:r>
    </w:p>
    <w:p>
      <w:pPr>
        <w:pStyle w:val="ListParagraph"/>
        <w:numPr>
          <w:ilvl w:val="0"/>
          <w:numId w:val="4"/>
        </w:numPr>
        <w:spacing w:after="120"/>
      </w:pPr>
      <w:r>
        <w:t xml:space="preserve">Workers may choose their own working hours within the operational window of the business. If a worker wishes to begin at 06:00, they may. If they wish to begin at 13:00 and work until 22:00, they may.</w:t>
      </w:r>
    </w:p>
    <w:p>
      <w:pPr>
        <w:pStyle w:val="ListParagraph"/>
        <w:numPr>
          <w:ilvl w:val="0"/>
          <w:numId w:val="4"/>
        </w:numPr>
        <w:spacing w:after="120"/>
      </w:pPr>
      <w:r>
        <w:t xml:space="preserve">Employers shall operate on an output and coverage basis, not a presenteeism basis. If the work is done and the shift is covered, the how and when are the worker’s business.</w:t>
      </w:r>
    </w:p>
    <w:p>
      <w:pPr>
        <w:pStyle w:val="ListParagraph"/>
        <w:numPr>
          <w:ilvl w:val="0"/>
          <w:numId w:val="4"/>
        </w:numPr>
        <w:spacing w:after="200"/>
      </w:pPr>
      <w:r>
        <w:t xml:space="preserve">All retail, banking, public services, hospitality, and essential services shall operate 24 hours a day, 7 days a week, staffed by voluntary shift selection. This removes the artificial urgency created by restricted operating hours and distributes economic activity across the full day.</w:t>
      </w:r>
    </w:p>
    <w:p>
      <w:pPr>
        <w:pStyle w:val="Heading2"/>
      </w:pPr>
      <w:r>
        <w:t xml:space="preserve">5. Working Days Per Week</w:t>
      </w:r>
    </w:p>
    <w:p>
      <w:pPr>
        <w:spacing w:after="200"/>
      </w:pPr>
      <w:r>
        <w:t xml:space="preserve">Workers may choose to work 4, 5, 6, or 7 days per week. This is the worker’s choice, not the employer’s. No worker shall be penalised for choosing fewer days, and no worker shall be prevented from choosing more if they wish to earn more.</w:t>
      </w:r>
    </w:p>
    <w:p>
      <w:pPr>
        <w:spacing w:after="200"/>
      </w:pPr>
      <w:r>
        <w:t xml:space="preserve">The key constraint is coverage: the worker’s responsibilities must be met and their workload current. How many days that takes is between the worker and the work.</w:t>
      </w:r>
    </w:p>
    <w:p>
      <w:pPr>
        <w:pStyle w:val="Heading2"/>
      </w:pPr>
      <w:r>
        <w:t xml:space="preserve">6. Breaks, Rest, and Human Functioning</w:t>
      </w:r>
    </w:p>
    <w:p>
      <w:pPr>
        <w:pStyle w:val="ListParagraph"/>
        <w:numPr>
          <w:ilvl w:val="0"/>
          <w:numId w:val="5"/>
        </w:numPr>
        <w:spacing w:after="120"/>
      </w:pPr>
      <w:r>
        <w:t xml:space="preserve">The statutory 30-minute lunch break is replaced with a flexible rest entitlement. Workers may take breaks of any reasonable duration during their working day — 30 minutes, 1 hour, 2 hours, or longer — provided their work obligations are met.</w:t>
      </w:r>
    </w:p>
    <w:p>
      <w:pPr>
        <w:pStyle w:val="ListParagraph"/>
        <w:numPr>
          <w:ilvl w:val="0"/>
          <w:numId w:val="5"/>
        </w:numPr>
        <w:spacing w:after="120"/>
      </w:pPr>
      <w:r>
        <w:t xml:space="preserve">Rest is not a privilege. A worker who needs a nap after four hours of focused work is more productive after resting than one forced to grind through on caffeine. Employers shall provide rest facilities including, at minimum, a quiet room.</w:t>
      </w:r>
    </w:p>
    <w:p>
      <w:pPr>
        <w:pStyle w:val="ListParagraph"/>
        <w:numPr>
          <w:ilvl w:val="0"/>
          <w:numId w:val="5"/>
        </w:numPr>
        <w:spacing w:after="200"/>
      </w:pPr>
      <w:r>
        <w:t xml:space="preserve">No employer may monitor, time, or restrict toilet breaks. This should not require legislation, but apparently it does.</w:t>
      </w:r>
    </w:p>
    <w:p>
      <w:pPr>
        <w:pStyle w:val="Heading1"/>
      </w:pPr>
      <w:r>
        <w:t xml:space="preserve">PART III: HOLIDAY AND ABSENCE</w:t>
      </w:r>
    </w:p>
    <w:p>
      <w:pPr>
        <w:pStyle w:val="Heading2"/>
      </w:pPr>
      <w:r>
        <w:t xml:space="preserve">7. Unlimited Paid Holiday</w:t>
      </w:r>
    </w:p>
    <w:p>
      <w:pPr>
        <w:spacing w:after="200"/>
      </w:pPr>
      <w:r>
        <w:t xml:space="preserve">The statutory 25-day holiday allowance is abolished and replaced with an unlimited paid holiday entitlement.</w:t>
      </w:r>
    </w:p>
    <w:p>
      <w:pPr>
        <w:pStyle w:val="ListParagraph"/>
        <w:numPr>
          <w:ilvl w:val="0"/>
          <w:numId w:val="6"/>
        </w:numPr>
        <w:spacing w:after="120"/>
      </w:pPr>
      <w:r>
        <w:t xml:space="preserve">A worker may take holiday of any duration — one day, two weeks, two months — provided their workload is current and coverage is arranged. Holiday is not a reward. It is a right.</w:t>
      </w:r>
    </w:p>
    <w:p>
      <w:pPr>
        <w:pStyle w:val="ListParagraph"/>
        <w:numPr>
          <w:ilvl w:val="0"/>
          <w:numId w:val="6"/>
        </w:numPr>
        <w:spacing w:after="120"/>
      </w:pPr>
      <w:r>
        <w:t xml:space="preserve">No employer may refuse a holiday request except where genuine operational coverage cannot be arranged, and in such cases the employer must offer an alternative date within 14 days.</w:t>
      </w:r>
    </w:p>
    <w:p>
      <w:pPr>
        <w:pStyle w:val="ListParagraph"/>
        <w:numPr>
          <w:ilvl w:val="0"/>
          <w:numId w:val="6"/>
        </w:numPr>
        <w:spacing w:after="120"/>
      </w:pPr>
      <w:r>
        <w:t xml:space="preserve">Holiday pay shall be calculated at the worker’s average hourly rate multiplied by their average daily hours over the preceding 12 weeks.</w:t>
      </w:r>
    </w:p>
    <w:p>
      <w:pPr>
        <w:pStyle w:val="ListParagraph"/>
        <w:numPr>
          <w:ilvl w:val="0"/>
          <w:numId w:val="6"/>
        </w:numPr>
        <w:spacing w:after="200"/>
      </w:pPr>
      <w:r>
        <w:t xml:space="preserve">The practice of “use it or lose it” holiday policies is prohibited. Workers do not forfeit rest because they were too busy to take it. That is the employer’s failure, not the worker’s.</w:t>
      </w:r>
    </w:p>
    <w:p>
      <w:pPr>
        <w:pStyle w:val="Heading2"/>
      </w:pPr>
      <w:r>
        <w:t xml:space="preserve">8. Mandatory Full Sick Pay</w:t>
      </w:r>
    </w:p>
    <w:p>
      <w:pPr>
        <w:spacing w:after="200"/>
      </w:pPr>
      <w:r>
        <w:t xml:space="preserve">Statutory Sick Pay (SSP) as it currently exists — £116.75 per week, payable only after three waiting days — is abolished. It is an insult to the unwell and a subsidy for employers who refuse to take responsibility for their workforce.</w:t>
      </w:r>
    </w:p>
    <w:p>
      <w:pPr>
        <w:pStyle w:val="ListParagraph"/>
        <w:numPr>
          <w:ilvl w:val="0"/>
          <w:numId w:val="7"/>
        </w:numPr>
        <w:spacing w:after="120"/>
      </w:pPr>
      <w:r>
        <w:t xml:space="preserve">All employers shall pay sick leave at the worker’s full contracted rate from day one of absence. No waiting days. No reduced rate. No SSP fallback.</w:t>
      </w:r>
    </w:p>
    <w:p>
      <w:pPr>
        <w:pStyle w:val="ListParagraph"/>
        <w:numPr>
          <w:ilvl w:val="0"/>
          <w:numId w:val="7"/>
        </w:numPr>
        <w:spacing w:after="120"/>
      </w:pPr>
      <w:r>
        <w:t xml:space="preserve">Sick pay shall be calculated as the worker’s average hourly rate multiplied by their average contracted daily hours over the preceding 12 weeks.</w:t>
      </w:r>
    </w:p>
    <w:p>
      <w:pPr>
        <w:pStyle w:val="ListParagraph"/>
        <w:numPr>
          <w:ilvl w:val="0"/>
          <w:numId w:val="7"/>
        </w:numPr>
        <w:spacing w:after="120"/>
      </w:pPr>
      <w:r>
        <w:t xml:space="preserve">No employer may require a GP note for absences of fewer than 7 consecutive days. Self-certification is sufficient. GPs have enough to do without writing permission slips for adults with a cold.</w:t>
      </w:r>
    </w:p>
    <w:p>
      <w:pPr>
        <w:pStyle w:val="ListParagraph"/>
        <w:numPr>
          <w:ilvl w:val="0"/>
          <w:numId w:val="7"/>
        </w:numPr>
        <w:spacing w:after="120"/>
      </w:pPr>
      <w:r>
        <w:t xml:space="preserve">Any employer who does not provide full sick pay from day one shall be prohibited from operating. This is not a fine. This is a licence condition. No sick pay, no business licence.</w:t>
      </w:r>
    </w:p>
    <w:p>
      <w:pPr>
        <w:pStyle w:val="ListParagraph"/>
        <w:numPr>
          <w:ilvl w:val="0"/>
          <w:numId w:val="7"/>
        </w:numPr>
        <w:spacing w:after="200"/>
      </w:pPr>
      <w:r>
        <w:t xml:space="preserve">Workers recovering from illness or injury shall not be subjected to “return to work interviews,” capability hearings, or Bradford Factor scoring. Sickness is not a disciplinary matter.</w:t>
      </w:r>
    </w:p>
    <w:p>
      <w:r>
        <w:br w:type="page"/>
      </w:r>
    </w:p>
    <w:p>
      <w:pPr>
        <w:pStyle w:val="Heading1"/>
      </w:pPr>
      <w:r>
        <w:t xml:space="preserve">PART IV: DIGNITY, SURVEILLANCE, AND THE RIGHT TO BE HUMAN</w:t>
      </w:r>
    </w:p>
    <w:p>
      <w:pPr>
        <w:pStyle w:val="Heading2"/>
      </w:pPr>
      <w:r>
        <w:t xml:space="preserve">9. Right to Disconnect</w:t>
      </w:r>
    </w:p>
    <w:p>
      <w:pPr>
        <w:pStyle w:val="ListParagraph"/>
        <w:numPr>
          <w:ilvl w:val="0"/>
          <w:numId w:val="8"/>
        </w:numPr>
        <w:spacing w:after="120"/>
      </w:pPr>
      <w:r>
        <w:t xml:space="preserve">When a worker’s shift or working period ends, they are unreachable. No emails. No calls. No WhatsApp messages from managers. No Slack notifications. The worker’s personal time is inviolable.</w:t>
      </w:r>
    </w:p>
    <w:p>
      <w:pPr>
        <w:pStyle w:val="ListParagraph"/>
        <w:numPr>
          <w:ilvl w:val="0"/>
          <w:numId w:val="8"/>
        </w:numPr>
        <w:spacing w:after="120"/>
      </w:pPr>
      <w:r>
        <w:t xml:space="preserve">Any communication sent by an employer outside of the worker’s chosen working hours creates no obligation to respond and shall not be referenced in any performance or conduct matter.</w:t>
      </w:r>
    </w:p>
    <w:p>
      <w:pPr>
        <w:pStyle w:val="ListParagraph"/>
        <w:numPr>
          <w:ilvl w:val="0"/>
          <w:numId w:val="8"/>
        </w:numPr>
        <w:spacing w:after="200"/>
      </w:pPr>
      <w:r>
        <w:t xml:space="preserve">Employers requiring genuine on-call availability shall pay a standing on-call rate of no less than 25% of the worker’s hourly rate for every hour of on-call time, in addition to full pay for any hours actually worked.</w:t>
      </w:r>
    </w:p>
    <w:p>
      <w:pPr>
        <w:pStyle w:val="Heading2"/>
      </w:pPr>
      <w:r>
        <w:t xml:space="preserve">10. Workplace Surveillance Limits</w:t>
      </w:r>
    </w:p>
    <w:p>
      <w:pPr>
        <w:spacing w:after="200"/>
      </w:pPr>
      <w:r>
        <w:t xml:space="preserve">Employers may monitor output and work quality. They may not monitor the worker as a person.</w:t>
      </w:r>
    </w:p>
    <w:p>
      <w:pPr>
        <w:pStyle w:val="ListParagraph"/>
        <w:numPr>
          <w:ilvl w:val="0"/>
          <w:numId w:val="9"/>
        </w:numPr>
        <w:spacing w:after="120"/>
      </w:pPr>
      <w:r>
        <w:t xml:space="preserve">Keystroke logging, mouse movement tracking, screenshot capture, webcam monitoring, and algorithmic productivity scoring are prohibited.</w:t>
      </w:r>
    </w:p>
    <w:p>
      <w:pPr>
        <w:pStyle w:val="ListParagraph"/>
        <w:numPr>
          <w:ilvl w:val="0"/>
          <w:numId w:val="9"/>
        </w:numPr>
        <w:spacing w:after="120"/>
      </w:pPr>
      <w:r>
        <w:t xml:space="preserve">GPS tracking of workers is prohibited except where the role involves driving a company vehicle during working hours, and tracking must cease when the shift ends.</w:t>
      </w:r>
    </w:p>
    <w:p>
      <w:pPr>
        <w:pStyle w:val="ListParagraph"/>
        <w:numPr>
          <w:ilvl w:val="0"/>
          <w:numId w:val="9"/>
        </w:numPr>
        <w:spacing w:after="200"/>
      </w:pPr>
      <w:r>
        <w:t xml:space="preserve">Any employer found to be covertly monitoring workers beyond the scope of this section shall be subject to an immediate fine of £50,000 per affected worker and referral to the NRSA enforcement authority.</w:t>
      </w:r>
    </w:p>
    <w:p>
      <w:pPr>
        <w:pStyle w:val="Heading2"/>
      </w:pPr>
      <w:r>
        <w:t xml:space="preserve">11. Abolition of Zero-Hours Contracts</w:t>
      </w:r>
    </w:p>
    <w:p>
      <w:pPr>
        <w:spacing w:after="200"/>
      </w:pPr>
      <w:r>
        <w:t xml:space="preserve">Zero-hours contracts are abolished with immediate effect. Every worker shall have a guaranteed minimum number of weekly hours specified in their contract. If the employer cannot provide those hours, the employer pays for them anyway. The risk of demand fluctuation belongs to the business, not the worker.</w:t>
      </w:r>
    </w:p>
    <w:p>
      <w:pPr>
        <w:pStyle w:val="Heading2"/>
      </w:pPr>
      <w:r>
        <w:t xml:space="preserve">12. Redundancy and Termination Protection</w:t>
      </w:r>
    </w:p>
    <w:p>
      <w:pPr>
        <w:spacing w:after="200"/>
      </w:pPr>
      <w:r>
        <w:t xml:space="preserve">No worker shall be dismissed without genuine documented cause. “Restructuring” that replaces human workers with automation shall trigger the Automation Duty provisions of NRSA Schedule 4 (Humans-First Access Rule). Any redundancy shall include a minimum of 12 weeks’ pay at full rate plus 2 weeks per year of service, with no cap.</w:t>
      </w:r>
    </w:p>
    <w:p>
      <w:pPr>
        <w:pStyle w:val="Heading1"/>
      </w:pPr>
      <w:r>
        <w:t xml:space="preserve">PART V: THE 24/7 ECONOMY</w:t>
      </w:r>
    </w:p>
    <w:p>
      <w:pPr>
        <w:pStyle w:val="Heading2"/>
      </w:pPr>
      <w:r>
        <w:t xml:space="preserve">13. Universal Operating Hours</w:t>
      </w:r>
    </w:p>
    <w:p>
      <w:pPr>
        <w:spacing w:after="200"/>
      </w:pPr>
      <w:r>
        <w:t xml:space="preserve">All retail, banking (including physical branches), public services, GP surgeries, council offices, post offices, and essential services shall operate on a 24-hour, 7-day basis. This is not optional. Staffing shall be provided through voluntary shift selection under the flexible scheduling provisions of Part II.</w:t>
      </w:r>
    </w:p>
    <w:p>
      <w:pPr>
        <w:spacing w:after="200"/>
      </w:pPr>
      <w:r>
        <w:t xml:space="preserve">The purpose of universal operating hours is the elimination of artificial urgency. When a bank is open at 21:00, no worker needs to take a day off to visit it. When a GP offers appointments at midnight, no parent needs to choose between their child’s health and their shift. When a council office operates on Saturday, bureaucracy stops being a full-time job for the people it is supposed to serve.</w:t>
      </w:r>
    </w:p>
    <w:p>
      <w:pPr>
        <w:spacing w:after="200"/>
      </w:pPr>
      <w:r>
        <w:t xml:space="preserve">The economy does not slow under this model. It accelerates, because dead hours disappear and human activity distributes naturally across the full day rather than being compressed into the same rigid window where everything competes for attention.</w:t>
      </w:r>
    </w:p>
    <w:p>
      <w:pPr>
        <w:pStyle w:val="Heading1"/>
      </w:pPr>
      <w:r>
        <w:t xml:space="preserve">PART VI: ENFORCEMENT</w:t>
      </w:r>
    </w:p>
    <w:p>
      <w:pPr>
        <w:pStyle w:val="Heading2"/>
      </w:pPr>
      <w:r>
        <w:t xml:space="preserve">14. No Sick Pay, No Licence</w:t>
      </w:r>
    </w:p>
    <w:p>
      <w:pPr>
        <w:spacing w:after="200"/>
      </w:pPr>
      <w:r>
        <w:t xml:space="preserve">Any employer that does not provide full sick pay at contracted rate from day one of absence shall have their business operating licence revoked. This is not subject to appeal during the period of non-compliance. Compliance restores the licence. Non-compliance ends the business. The worker’s health is not negotiable.</w:t>
      </w:r>
    </w:p>
    <w:p>
      <w:pPr>
        <w:pStyle w:val="Heading2"/>
      </w:pPr>
      <w:r>
        <w:t xml:space="preserve">15. NRSA Empowered Enforcement</w:t>
      </w:r>
    </w:p>
    <w:p>
      <w:pPr>
        <w:spacing w:after="200"/>
      </w:pPr>
      <w:r>
        <w:t xml:space="preserve">The National Revenue and Stability Authority shall enforce this Doctrine with full powers to audit payroll, inspect contracts, investigate complaints, and prosecute violations. Workers may report breaches anonymously. All investigations shall conclude within 28 days.</w:t>
      </w:r>
    </w:p>
    <w:p>
      <w:pPr>
        <w:pStyle w:val="Heading2"/>
      </w:pPr>
      <w:r>
        <w:t xml:space="preserve">16. Annual Public Audit</w:t>
      </w:r>
    </w:p>
    <w:p>
      <w:pPr>
        <w:spacing w:after="200"/>
      </w:pPr>
      <w:r>
        <w:t xml:space="preserve">All provisions of this Doctrine shall be subject to annual public audit, with findings published in full. Any section may be petitioned for review by 1 million citizen signatures, consistent with the NRSA Citizens’ Right to Review.</w:t>
      </w:r>
    </w:p>
    <w:p>
      <w:r>
        <w:br w:type="page"/>
      </w:r>
    </w:p>
    <w:p>
      <w:pPr>
        <w:spacing w:after="200" w:before="600"/>
        <w:jc w:val="center"/>
      </w:pPr>
      <w:r>
        <w:rPr>
          <w:b/>
          <w:bCs/>
          <w:color w:val="555555"/>
          <w:sz w:val="28"/>
          <w:szCs w:val="28"/>
        </w:rPr>
        <w:t xml:space="preserve">— END OF SCHEDULE 7 —</w:t>
      </w:r>
    </w:p>
    <w:p>
      <w:pPr>
        <w:spacing w:after="400"/>
        <w:jc w:val="center"/>
      </w:pPr>
      <w:r>
        <w:rPr>
          <w:i/>
          <w:iCs/>
          <w:color w:val="666666"/>
          <w:sz w:val="22"/>
          <w:szCs w:val="22"/>
        </w:rPr>
        <w:t xml:space="preserve">This Doctrine forms part of the National Restoration Strategy Act and carries the full force of that Act.</w:t>
      </w:r>
    </w:p>
    <w:p>
      <w:pPr>
        <w:spacing w:after="100"/>
        <w:jc w:val="center"/>
      </w:pPr>
      <w:r>
        <w:rPr>
          <w:color w:val="888888"/>
          <w:sz w:val="22"/>
          <w:szCs w:val="22"/>
        </w:rPr>
        <w:t xml:space="preserve">Drafted under the authority of the NRSA Framework</w:t>
      </w:r>
    </w:p>
    <w:p>
      <w:pPr>
        <w:spacing w:after="100"/>
        <w:jc w:val="center"/>
      </w:pPr>
      <w:r>
        <w:rPr>
          <w:i/>
          <w:iCs/>
          <w:color w:val="555555"/>
          <w:sz w:val="24"/>
          <w:szCs w:val="24"/>
        </w:rPr>
        <w:t xml:space="preserve">"Work exists to sustain life, not to extract from it."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4"/>
    <w:lvlOverride w:ilvl="0">
      <w:startOverride w:val="1"/>
    </w:lvlOverride>
  </w:num>
  <w:num w:numId="4">
    <w:abstractNumId w:val="5"/>
    <w:lvlOverride w:ilvl="0">
      <w:startOverride w:val="1"/>
    </w:lvlOverride>
  </w:num>
  <w:num w:numId="5">
    <w:abstractNumId w:val="6"/>
    <w:lvlOverride w:ilvl="0">
      <w:startOverride w:val="1"/>
    </w:lvlOverride>
  </w:num>
  <w:num w:numId="6">
    <w:abstractNumId w:val="7"/>
    <w:lvlOverride w:ilvl="0">
      <w:startOverride w:val="1"/>
    </w:lvlOverride>
  </w:num>
  <w:num w:numId="7">
    <w:abstractNumId w:val="8"/>
    <w:lvlOverride w:ilvl="0">
      <w:startOverride w:val="1"/>
    </w:lvlOverride>
  </w:num>
  <w:num w:numId="8">
    <w:abstractNumId w:val="9"/>
    <w:lvlOverride w:ilvl="0">
      <w:startOverride w:val="1"/>
    </w:lvlOverride>
  </w:num>
  <w:num w:numId="9">
    <w:abstractNumId w:val="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Arial" w:cs="Arial" w:eastAsia="Arial" w:hAnsi="Arial"/>
      <w:b/>
      <w:bCs/>
      <w:color w:val="1a1a1a"/>
      <w:sz w:val="36"/>
      <w:szCs w:val="36"/>
    </w:rPr>
  </w:style>
  <w:style w:type="paragraph" w:styleId="Heading2">
    <w:name w:val="Heading 2"/>
    <w:basedOn w:val="Normal"/>
    <w:next w:val="Normal"/>
    <w:qFormat/>
    <w:pPr>
      <w:spacing w:after="180" w:before="280"/>
      <w:outlineLvl w:val="1"/>
    </w:pPr>
    <w:rPr>
      <w:rFonts w:ascii="Arial" w:cs="Arial" w:eastAsia="Arial" w:hAnsi="Arial"/>
      <w:b/>
      <w:bCs/>
      <w:color w:val="2a2a2a"/>
      <w:sz w:val="30"/>
      <w:szCs w:val="30"/>
    </w:rPr>
  </w:style>
  <w:style w:type="paragraph" w:styleId="Heading3">
    <w:name w:val="Heading 3"/>
    <w:basedOn w:val="Normal"/>
    <w:next w:val="Normal"/>
    <w:qFormat/>
    <w:pPr>
      <w:spacing w:after="120" w:before="240"/>
      <w:outlineLvl w:val="2"/>
    </w:pPr>
    <w:rPr>
      <w:rFonts w:ascii="Arial" w:cs="Arial" w:eastAsia="Arial" w:hAnsi="Arial"/>
      <w:b/>
      <w:bCs/>
      <w:color w:val="3a3a3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2026-05-26T14:33:47.306Z</dcterms:created>
  <dcterms:modified xsi:type="dcterms:W3CDTF">2026-05-26T14:33:47.306Z</dcterms:modified>
</cp:coreProperties>
</file>

<file path=docProps/custom.xml><?xml version="1.0" encoding="utf-8"?>
<Properties xmlns="http://schemas.openxmlformats.org/officeDocument/2006/custom-properties" xmlns:vt="http://schemas.openxmlformats.org/officeDocument/2006/docPropsVTypes"/>
</file>