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Policing &amp; Justice</w:t>
      </w:r>
    </w:p>
    <w:p>
      <w:pPr>
        <w:spacing w:after="200"/>
        <w:jc w:val="center"/>
      </w:pPr>
      <w:r>
        <w:rPr>
          <w:color w:val="555555"/>
          <w:sz w:val="26"/>
          <w:szCs w:val="26"/>
        </w:rPr>
        <w:t xml:space="preserve">One Standard of Justice • Dignity in Custody • Body Cameras</w:t>
      </w:r>
    </w:p>
    <w:p>
      <w:pPr>
        <w:spacing w:after="200"/>
        <w:jc w:val="center"/>
      </w:pPr>
      <w:r>
        <w:rPr>
          <w:color w:val="555555"/>
          <w:sz w:val="26"/>
          <w:szCs w:val="26"/>
        </w:rPr>
        <w:t xml:space="preserve">Prison Reform • 6-Hour Holding Limit • Data Deletion</w:t>
      </w:r>
    </w:p>
    <w:p>
      <w:pPr>
        <w:spacing w:after="200"/>
        <w:jc w:val="center"/>
      </w:pPr>
      <w:r>
        <w:rPr>
          <w:color w:val="555555"/>
          <w:sz w:val="26"/>
          <w:szCs w:val="26"/>
        </w:rPr>
        <w:t xml:space="preserve">Police on Streets • Legal Aid • No Early Release</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Why This Reform Is Non-Negotiable</w:t>
      </w:r>
    </w:p>
    <w:p>
      <w:pPr>
        <w:spacing w:after="80"/>
      </w:pPr>
    </w:p>
    <w:p>
      <w:pPr>
        <w:spacing w:after="160"/>
      </w:pPr>
      <w:r>
        <w:rPr>
          <w:sz w:val="24"/>
          <w:szCs w:val="24"/>
        </w:rPr>
        <w:t xml:space="preserve">I was arrested in 2020 over chalk slogans. Washable. Harmless. My friends wrote a few messages on the pavement, nothing permanent, no damage done. I was paraded through the city centre in tight handcuffs that left red marks for days, then thrown into a cell for 15 hours, checked on maybe twice, and dumped in a holding van to be driven home. No warning. No dignity. Just punishment by process.</w:t>
      </w:r>
    </w:p>
    <w:p>
      <w:pPr>
        <w:spacing w:after="160"/>
      </w:pPr>
      <w:r>
        <w:rPr>
          <w:sz w:val="24"/>
          <w:szCs w:val="24"/>
        </w:rPr>
        <w:t xml:space="preserve">A second time, I was arrested for breaching bail by buying a sandwich. I’m diabetic and hypertensive. If I don’t eat every few hours, I collapse. I was transiting via bus, passing through a restricted zone. I needed food, so I made a decision to stay alive. That earned me another 16 hours in custody. No handcuffs this time, but I was made to get an Uber home at my own expense.</w:t>
      </w:r>
    </w:p>
    <w:p>
      <w:pPr>
        <w:spacing w:after="160"/>
      </w:pPr>
      <w:r>
        <w:rPr>
          <w:sz w:val="24"/>
          <w:szCs w:val="24"/>
        </w:rPr>
        <w:t xml:space="preserve">When I complained? They upheld everything. No fault found. No wrongdoing admitted. Just a polite brush-off.</w:t>
      </w:r>
    </w:p>
    <w:p>
      <w:pPr>
        <w:spacing w:after="160"/>
      </w:pPr>
      <w:r>
        <w:rPr>
          <w:sz w:val="24"/>
          <w:szCs w:val="24"/>
        </w:rPr>
        <w:t xml:space="preserve">This wasn’t public safety. This was systemic humiliation.</w:t>
      </w:r>
    </w:p>
    <w:p>
      <w:pPr>
        <w:spacing w:after="160"/>
      </w:pPr>
      <w:r>
        <w:rPr>
          <w:sz w:val="24"/>
          <w:szCs w:val="24"/>
        </w:rPr>
        <w:t xml:space="preserve">And that’s why I believe in this reform. Because I’ve lived it, and I know we can do better. This policy isn’t theory. It is lived. And it will fix what they pretended wasn’t broken.</w:t>
      </w:r>
    </w:p>
    <w:p>
      <w:pPr>
        <w:spacing w:after="80"/>
      </w:pPr>
    </w:p>
    <w:p>
      <w:pPr>
        <w:spacing w:after="160"/>
        <w:rPr>
          <w:i/>
          <w:iCs/>
        </w:rPr>
      </w:pPr>
      <w:r>
        <w:rPr>
          <w:i/>
          <w:iCs/>
          <w:sz w:val="24"/>
          <w:szCs w:val="24"/>
        </w:rPr>
        <w:t xml:space="preserve">— Marty Anderson, founder of BUILD UK</w:t>
      </w:r>
    </w:p>
    <w:p>
      <w:r>
        <w:br w:type="page"/>
      </w:r>
    </w:p>
    <w:p>
      <w:pPr>
        <w:pStyle w:val="Heading1"/>
      </w:pPr>
      <w:r>
        <w:rPr>
          <w:b/>
          <w:bCs/>
        </w:rPr>
        <w:t xml:space="preserve">Pillar 1: Police Stations — Open, Staffed, Accessible</w:t>
      </w:r>
    </w:p>
    <w:p>
      <w:pPr>
        <w:spacing w:after="80"/>
      </w:pPr>
    </w:p>
    <w:p>
      <w:pPr>
        <w:pStyle w:val="Heading2"/>
      </w:pPr>
      <w:r>
        <w:rPr>
          <w:b/>
          <w:bCs/>
        </w:rPr>
        <w:t xml:space="preserve">1.1 — Reinstate 24/7 Staffed Police Stations</w:t>
      </w:r>
    </w:p>
    <w:p>
      <w:pPr>
        <w:spacing w:after="160"/>
      </w:pPr>
      <w:r>
        <w:rPr>
          <w:sz w:val="24"/>
          <w:szCs w:val="24"/>
        </w:rPr>
        <w:t xml:space="preserve">Every town and significant community will have a police station that is open 24 hours a day, 7 days a week, staffed by officers who can take reports, respond to emergencies, and provide immediate assistance. No more locked doors. No more yellow phones on the wall outside that connect to a call centre 50 miles away. No more ‘call 101 and wait 45 minutes.’</w:t>
      </w:r>
    </w:p>
    <w:p>
      <w:pPr>
        <w:spacing w:after="160"/>
      </w:pPr>
      <w:r>
        <w:rPr>
          <w:sz w:val="24"/>
          <w:szCs w:val="24"/>
        </w:rPr>
        <w:t xml:space="preserve">The closure of front-counter police stations has been the single most visible symbol of the retreat of policing from communities. A town without a police station is a town that has been told its safety is not a priority. BUILD will reverse that. If you need the police, you walk to the station and speak to a person. The station is open. The person is there. The door is not locked.</w:t>
      </w:r>
    </w:p>
    <w:p>
      <w:pPr>
        <w:spacing w:after="80"/>
      </w:pPr>
    </w:p>
    <w:p>
      <w:pPr>
        <w:pStyle w:val="Heading2"/>
      </w:pPr>
      <w:r>
        <w:rPr>
          <w:b/>
          <w:bCs/>
        </w:rPr>
        <w:t xml:space="preserve">1.2 — Community Beat Officers</w:t>
      </w:r>
    </w:p>
    <w:p>
      <w:pPr>
        <w:spacing w:after="160"/>
      </w:pPr>
      <w:r>
        <w:rPr>
          <w:sz w:val="24"/>
          <w:szCs w:val="24"/>
        </w:rPr>
        <w:t xml:space="preserve">Every neighbourhood will have a named, visible, accountable police officer. Not a PCSO with no powers. Not a community liaison officer who visits once a quarter. A sworn constable who knows the streets, knows the residents, knows the problems, and is present enough to prevent crime rather than just responding to it after it happens.</w:t>
      </w:r>
    </w:p>
    <w:p>
      <w:pPr>
        <w:spacing w:after="160"/>
      </w:pPr>
      <w:r>
        <w:rPr>
          <w:sz w:val="24"/>
          <w:szCs w:val="24"/>
        </w:rPr>
        <w:t xml:space="preserve">The beat copper was not abolished because it failed. It was abolished because it cost money that was redirected to centralised response units, specialist teams, and management layers. The result is a police service that arrives after the crime and writes a report, rather than one that prevents the crime by being visible. BUILD will reverse the priority.</w:t>
      </w:r>
    </w:p>
    <w:p>
      <w:r>
        <w:br w:type="page"/>
      </w:r>
    </w:p>
    <w:p>
      <w:pPr>
        <w:pStyle w:val="Heading1"/>
      </w:pPr>
      <w:r>
        <w:rPr>
          <w:b/>
          <w:bCs/>
        </w:rPr>
        <w:t xml:space="preserve">Pillar 2: Custody — 6-Hour Limit and Dignity</w:t>
      </w:r>
    </w:p>
    <w:p>
      <w:pPr>
        <w:spacing w:after="80"/>
      </w:pPr>
    </w:p>
    <w:p>
      <w:pPr>
        <w:pStyle w:val="Heading2"/>
      </w:pPr>
      <w:r>
        <w:rPr>
          <w:b/>
          <w:bCs/>
        </w:rPr>
        <w:t xml:space="preserve">2.1 — Maximum 6-Hour Holding Without Charge</w:t>
      </w:r>
    </w:p>
    <w:p>
      <w:pPr>
        <w:spacing w:after="160"/>
      </w:pPr>
      <w:r>
        <w:rPr>
          <w:sz w:val="24"/>
          <w:szCs w:val="24"/>
        </w:rPr>
        <w:t xml:space="preserve">No person may be held in police custody for more than 6 hours without being formally charged. The current law permits up to 24 hours of pre-charge detention, extendable to 36 or 96 hours with authorisation. In practice, this means a person arrested on suspicion of a minor offence can be locked in a cell for an entire day with nothing happening — no interview, no charging decision, no communication — while the custody clock ticks and the process itself becomes the punishment.</w:t>
      </w:r>
    </w:p>
    <w:p>
      <w:pPr>
        <w:spacing w:after="160"/>
      </w:pPr>
      <w:r>
        <w:rPr>
          <w:sz w:val="24"/>
          <w:szCs w:val="24"/>
        </w:rPr>
        <w:t xml:space="preserve">Six hours is more than enough time to book a suspect, conduct an interview, consult the CPS, and make a charging decision for the vast majority of offences. If the police cannot assemble enough evidence to charge within six hours, the suspect is released on bail or under investigation and the inquiry continues outside the cell. The cell is for processing, not for punishment. Holding a person for 15 or 16 hours over chalk slogans or a sandwich is not justice. It is cruelty administered by procedure.</w:t>
      </w:r>
    </w:p>
    <w:p>
      <w:pPr>
        <w:spacing w:after="160"/>
      </w:pPr>
      <w:r>
        <w:rPr>
          <w:sz w:val="24"/>
          <w:szCs w:val="24"/>
        </w:rPr>
        <w:t xml:space="preserve">Serious offences — terrorism, murder, organised crime — may require extended detention. For these, and only these, authorisation to hold beyond 6 hours will require approval from a custody inspector with documented reasons, reviewed by an independent panel within 24 hours. The default is 6 hours. The exception requires justification.</w:t>
      </w:r>
    </w:p>
    <w:p>
      <w:pPr>
        <w:spacing w:after="80"/>
      </w:pPr>
    </w:p>
    <w:p>
      <w:pPr>
        <w:pStyle w:val="Heading2"/>
      </w:pPr>
      <w:r>
        <w:rPr>
          <w:b/>
          <w:bCs/>
        </w:rPr>
        <w:t xml:space="preserve">2.2 — Handcuffs as Last Resort</w:t>
      </w:r>
    </w:p>
    <w:p>
      <w:pPr>
        <w:spacing w:after="160"/>
      </w:pPr>
      <w:r>
        <w:rPr>
          <w:sz w:val="24"/>
          <w:szCs w:val="24"/>
        </w:rPr>
        <w:t xml:space="preserve">Handcuffs will be used only when there is a genuine, documented risk of violence, escape, or harm to self or others. Not as a default. Not as a show of authority. Not to parade a suspect through a city centre for the benefit of passing cameras. A person arrested for a non-violent offence — criminal damage by chalk, breach of bail conditions, shoplifting, minor public order — does not need to be handcuffed. The fact that it happened once and not the second time proves the point: it was never necessary. It was a choice. That choice will be removed unless the risk assessment justifies it.</w:t>
      </w:r>
    </w:p>
    <w:p>
      <w:pPr>
        <w:spacing w:after="160"/>
      </w:pPr>
      <w:r>
        <w:rPr>
          <w:sz w:val="24"/>
          <w:szCs w:val="24"/>
        </w:rPr>
        <w:t xml:space="preserve">Every use of handcuffs will be documented in the custody record with a specific, articulable reason. ‘Standard procedure’ is not a reason. ‘Officer safety’ without a specific threat is not a reason. A named risk, based on the behaviour or circumstances of the individual, is a reason. Everything else is theatre.</w:t>
      </w:r>
    </w:p>
    <w:p>
      <w:pPr>
        <w:spacing w:after="80"/>
      </w:pPr>
    </w:p>
    <w:p>
      <w:pPr>
        <w:pStyle w:val="Heading2"/>
      </w:pPr>
      <w:r>
        <w:rPr>
          <w:b/>
          <w:bCs/>
        </w:rPr>
        <w:t xml:space="preserve">2.3 — Custody Food: Real Meals</w:t>
      </w:r>
    </w:p>
    <w:p>
      <w:pPr>
        <w:spacing w:after="160"/>
      </w:pPr>
      <w:r>
        <w:rPr>
          <w:sz w:val="24"/>
          <w:szCs w:val="24"/>
        </w:rPr>
        <w:t xml:space="preserve">People in police custody are in the care of the state. The state will feed them properly. Real food, not a microwaved ready meal in a foil tray with a plastic spork. A hot meal with identifiable ingredients, served on a plate, with cutlery that can actually cut food. For the purposes of custody catering, the same standards apply as in the NHS Reform Charter: real food, cooked properly, meeting basic nutritional requirements.</w:t>
      </w:r>
    </w:p>
    <w:p>
      <w:pPr>
        <w:spacing w:after="160"/>
      </w:pPr>
      <w:r>
        <w:rPr>
          <w:sz w:val="24"/>
          <w:szCs w:val="24"/>
        </w:rPr>
        <w:t xml:space="preserve">Security concerns around cutlery are real but solvable. Supervised mealtimes with cutlery collected after eating. Heavy-duty plastic cutlery that functions (not the current type that snaps on contact with food). For high-risk detainees, finger food that is still dignified. A cheese sandwich and an apple is more dignified than a microwaved mystery tray.</w:t>
      </w:r>
    </w:p>
    <w:p>
      <w:pPr>
        <w:spacing w:after="160"/>
      </w:pPr>
      <w:r>
        <w:rPr>
          <w:sz w:val="24"/>
          <w:szCs w:val="24"/>
        </w:rPr>
        <w:t xml:space="preserve">For detainees with medical dietary requirements — diabetes, allergies, religious dietary needs — the custody suite will accommodate them immediately, not after a three-hour wait and a complaint. A diabetic person in custody needs to eat on schedule. If the police arrest a diabetic, the police feed the diabetic. This is not a favour. It is a duty of care.</w:t>
      </w:r>
    </w:p>
    <w:p>
      <w:r>
        <w:br w:type="page"/>
      </w:r>
    </w:p>
    <w:p>
      <w:pPr>
        <w:pStyle w:val="Heading1"/>
      </w:pPr>
      <w:r>
        <w:rPr>
          <w:b/>
          <w:bCs/>
        </w:rPr>
        <w:t xml:space="preserve">Pillar 3: Body Cameras — Always On, Always Kept</w:t>
      </w:r>
    </w:p>
    <w:p>
      <w:pPr>
        <w:spacing w:after="80"/>
      </w:pPr>
    </w:p>
    <w:p>
      <w:pPr>
        <w:pStyle w:val="Heading2"/>
      </w:pPr>
      <w:r>
        <w:rPr>
          <w:b/>
          <w:bCs/>
        </w:rPr>
        <w:t xml:space="preserve">3.1 — Mandatory Body Cameras</w:t>
      </w:r>
    </w:p>
    <w:p>
      <w:pPr>
        <w:spacing w:after="160"/>
      </w:pPr>
      <w:r>
        <w:rPr>
          <w:sz w:val="24"/>
          <w:szCs w:val="24"/>
        </w:rPr>
        <w:t xml:space="preserve">Every police officer on duty will wear a body-worn camera at all times. The camera will record continuously from the start of shift to the end of shift. The officer will not have the ability to turn the camera off, pause recording, or delete footage. If an officer’s camera is found to have been deactivated during an incident, the absence of footage will be treated as adverse evidence in any subsequent complaint, investigation, or legal proceeding.</w:t>
      </w:r>
    </w:p>
    <w:p>
      <w:pPr>
        <w:spacing w:after="160"/>
      </w:pPr>
      <w:r>
        <w:rPr>
          <w:sz w:val="24"/>
          <w:szCs w:val="24"/>
        </w:rPr>
        <w:t xml:space="preserve">Body cameras protect the public from police misconduct. They also protect officers from false accusations. Both sides benefit from a verifiable record of every interaction. The only people who lose from mandatory body cameras are those who have something to hide.</w:t>
      </w:r>
    </w:p>
    <w:p>
      <w:pPr>
        <w:spacing w:after="80"/>
      </w:pPr>
    </w:p>
    <w:p>
      <w:pPr>
        <w:pStyle w:val="Heading2"/>
      </w:pPr>
      <w:r>
        <w:rPr>
          <w:b/>
          <w:bCs/>
        </w:rPr>
        <w:t xml:space="preserve">3.2 — 12-Month Minimum Retention</w:t>
      </w:r>
    </w:p>
    <w:p>
      <w:pPr>
        <w:spacing w:after="160"/>
      </w:pPr>
      <w:r>
        <w:rPr>
          <w:sz w:val="24"/>
          <w:szCs w:val="24"/>
        </w:rPr>
        <w:t xml:space="preserve">All body camera footage will be retained for a minimum of 12 months from the date of recording. Footage relating to any arrest, use of force, complaint, or incident will be retained until any investigation, prosecution, or legal proceeding is fully concluded plus 12 months.</w:t>
      </w:r>
    </w:p>
    <w:p>
      <w:pPr>
        <w:spacing w:after="160"/>
      </w:pPr>
      <w:r>
        <w:rPr>
          <w:sz w:val="24"/>
          <w:szCs w:val="24"/>
        </w:rPr>
        <w:t xml:space="preserve">The current system, where footage is routinely deleted after 31 days unless specifically flagged, means that evidence of police misconduct can be destroyed before a complaint is even filed. A person who is arrested, traumatised, and trying to put the experience behind them may not file a complaint for weeks or months. By then, the footage is gone. Under BUILD’s rule, the footage is always there. For a year minimum. The record is kept. The truth is preserved.</w:t>
      </w:r>
    </w:p>
    <w:p>
      <w:r>
        <w:br w:type="page"/>
      </w:r>
    </w:p>
    <w:p>
      <w:pPr>
        <w:pStyle w:val="Heading1"/>
      </w:pPr>
      <w:r>
        <w:rPr>
          <w:b/>
          <w:bCs/>
        </w:rPr>
        <w:t xml:space="preserve">Pillar 4: Data Deletion — Innocent Means Innocent</w:t>
      </w:r>
    </w:p>
    <w:p>
      <w:pPr>
        <w:spacing w:after="80"/>
      </w:pPr>
    </w:p>
    <w:p>
      <w:pPr>
        <w:pStyle w:val="Heading2"/>
      </w:pPr>
      <w:r>
        <w:rPr>
          <w:b/>
          <w:bCs/>
        </w:rPr>
        <w:t xml:space="preserve">4.1 — Automatic Deletion on Acquittal or NFA</w:t>
      </w:r>
    </w:p>
    <w:p>
      <w:pPr>
        <w:spacing w:after="160"/>
      </w:pPr>
      <w:r>
        <w:rPr>
          <w:sz w:val="24"/>
          <w:szCs w:val="24"/>
        </w:rPr>
        <w:t xml:space="preserve">When a person is found Not Guilty, or when a case is closed with No Further Action, all DNA samples, fingerprints, photographs, custody records, and associated data will be automatically deleted within 28 days. No application required. No appeal to the Biometric Commissioner. No retention ‘in case.’ Automatic. Complete. Within 28 days.</w:t>
      </w:r>
    </w:p>
    <w:p>
      <w:pPr>
        <w:spacing w:after="160"/>
      </w:pPr>
      <w:r>
        <w:rPr>
          <w:sz w:val="24"/>
          <w:szCs w:val="24"/>
        </w:rPr>
        <w:t xml:space="preserve">The current system retains innocent people’s DNA and biometric data for years, sometimes indefinitely, on the basis that they might commit a crime in the future. This is not policing. It is pre-crime. You were found not guilty. You are innocent. The state has no right to retain your biological data as if you are a future suspect. Innocent means innocent. The data is deleted.</w:t>
      </w:r>
    </w:p>
    <w:p>
      <w:pPr>
        <w:spacing w:after="80"/>
      </w:pPr>
    </w:p>
    <w:p>
      <w:pPr>
        <w:pStyle w:val="Heading2"/>
      </w:pPr>
      <w:r>
        <w:rPr>
          <w:b/>
          <w:bCs/>
        </w:rPr>
        <w:t xml:space="preserve">4.2 — Ban ‘Future Risk’ Registers for Innocent People</w:t>
      </w:r>
    </w:p>
    <w:p>
      <w:pPr>
        <w:spacing w:after="160"/>
      </w:pPr>
      <w:r>
        <w:rPr>
          <w:sz w:val="24"/>
          <w:szCs w:val="24"/>
        </w:rPr>
        <w:t xml:space="preserve">Police forces currently maintain internal registers that flag individuals as ‘future risks’ based on intelligence assessments, even when those individuals have never been convicted of a crime. These registers are secret. The individual does not know they are on the register. They cannot challenge their inclusion. They cannot see the evidence. And the flag follows them through every interaction with the police, colouring every encounter with an assumption of guilt that they have no opportunity to rebut.</w:t>
      </w:r>
    </w:p>
    <w:p>
      <w:pPr>
        <w:spacing w:after="160"/>
      </w:pPr>
      <w:r>
        <w:rPr>
          <w:sz w:val="24"/>
          <w:szCs w:val="24"/>
        </w:rPr>
        <w:t xml:space="preserve">BUILD will ban the use of internal ‘future risk’ registers for individuals who have not been convicted of a relevant offence. Intelligence-led policing is legitimate. Maintaining a secret file on a person who has committed no crime is not. If the police have evidence that a person is planning a crime, they investigate. They do not maintain a permanent file and wait.</w:t>
      </w:r>
    </w:p>
    <w:p>
      <w:pPr>
        <w:spacing w:after="80"/>
      </w:pPr>
    </w:p>
    <w:p>
      <w:pPr>
        <w:pStyle w:val="Heading2"/>
      </w:pPr>
      <w:r>
        <w:rPr>
          <w:b/>
          <w:bCs/>
        </w:rPr>
        <w:t xml:space="preserve">4.3 — Exception: Serious Crime</w:t>
      </w:r>
    </w:p>
    <w:p>
      <w:pPr>
        <w:spacing w:after="160"/>
      </w:pPr>
      <w:r>
        <w:rPr>
          <w:sz w:val="24"/>
          <w:szCs w:val="24"/>
        </w:rPr>
        <w:t xml:space="preserve">DNA and biometric data may be retained following acquittal or NFA only for offences in the most serious category: murder, terrorism, sexual offences, and organised crime. Retention for these categories will require independent authorisation, be reviewed annually, and be subject to automatic deletion after five years unless renewed with specific justification. This is a narrow, defined exception — not a general power to retain innocent people’s data.</w:t>
      </w:r>
    </w:p>
    <w:p>
      <w:r>
        <w:br w:type="page"/>
      </w:r>
    </w:p>
    <w:p>
      <w:pPr>
        <w:pStyle w:val="Heading1"/>
      </w:pPr>
      <w:r>
        <w:rPr>
          <w:b/>
          <w:bCs/>
        </w:rPr>
        <w:t xml:space="preserve">Pillar 5: One Standard of Justice</w:t>
      </w:r>
    </w:p>
    <w:p>
      <w:pPr>
        <w:spacing w:after="80"/>
      </w:pPr>
    </w:p>
    <w:p>
      <w:pPr>
        <w:pStyle w:val="Heading2"/>
      </w:pPr>
      <w:r>
        <w:rPr>
          <w:b/>
          <w:bCs/>
        </w:rPr>
        <w:t xml:space="preserve">5.1 — End Politically Correct Policing</w:t>
      </w:r>
    </w:p>
    <w:p>
      <w:pPr>
        <w:spacing w:after="160"/>
      </w:pPr>
      <w:r>
        <w:rPr>
          <w:sz w:val="24"/>
          <w:szCs w:val="24"/>
        </w:rPr>
        <w:t xml:space="preserve">One law. One standard. Applied equally to every person regardless of race, religion, creed, gender, wealth, or political connection. The police enforce the law. They do not moderate the law based on who is breaking it or which community they belong to.</w:t>
      </w:r>
    </w:p>
    <w:p>
      <w:pPr>
        <w:spacing w:after="160"/>
      </w:pPr>
      <w:r>
        <w:rPr>
          <w:sz w:val="24"/>
          <w:szCs w:val="24"/>
        </w:rPr>
        <w:t xml:space="preserve">When a protest blocks a motorway, the response is the same whether the protesters are environmental activists or far-right demonstrators. When a mob causes criminal damage, the response is the same whether the mob is motivated by religion, politics, or football. When an individual commits assault, the response is the same whether they are wealthy or poor, connected or unknown, British or foreign.</w:t>
      </w:r>
    </w:p>
    <w:p>
      <w:pPr>
        <w:spacing w:after="160"/>
      </w:pPr>
      <w:r>
        <w:rPr>
          <w:sz w:val="24"/>
          <w:szCs w:val="24"/>
        </w:rPr>
        <w:t xml:space="preserve">Two-tier policing — the perception or reality that some groups are policed more lightly than others for political or cultural reasons — is corrosive to public trust. BUILD will not tolerate it. The law is the law. It applies to everyone. The police enforce it without fear or favour.</w:t>
      </w:r>
    </w:p>
    <w:p>
      <w:pPr>
        <w:spacing w:after="80"/>
      </w:pPr>
    </w:p>
    <w:p>
      <w:pPr>
        <w:pStyle w:val="Heading2"/>
      </w:pPr>
      <w:r>
        <w:rPr>
          <w:b/>
          <w:bCs/>
        </w:rPr>
        <w:t xml:space="preserve">5.2 — Equal Sentencing</w:t>
      </w:r>
    </w:p>
    <w:p>
      <w:pPr>
        <w:spacing w:after="160"/>
      </w:pPr>
      <w:r>
        <w:rPr>
          <w:sz w:val="24"/>
          <w:szCs w:val="24"/>
        </w:rPr>
        <w:t xml:space="preserve">Sentencing will be equalised regardless of gender, parental status, or social background. A woman who commits the same crime as a man receives the same sentence. A parent who commits a crime does not receive a lighter sentence because they have children. The crime determines the punishment, not the demographics of the offender. The current sentencing disparity — where women receive significantly shorter sentences than men for equivalent offences, and parents receive leniency unavailable to childless offenders — is not justice. It is discrimination embedded in the system.</w:t>
      </w:r>
    </w:p>
    <w:p>
      <w:pPr>
        <w:spacing w:after="80"/>
      </w:pPr>
    </w:p>
    <w:p>
      <w:pPr>
        <w:pStyle w:val="Heading2"/>
      </w:pPr>
      <w:r>
        <w:rPr>
          <w:b/>
          <w:bCs/>
        </w:rPr>
        <w:t xml:space="preserve">5.3 — Ban Deferred Sentencing</w:t>
      </w:r>
    </w:p>
    <w:p>
      <w:pPr>
        <w:spacing w:after="160"/>
      </w:pPr>
      <w:r>
        <w:rPr>
          <w:sz w:val="24"/>
          <w:szCs w:val="24"/>
        </w:rPr>
        <w:t xml:space="preserve">Deferred sentencing — the practice of delaying punishment to see if the offender ‘behaves’ in the meantime — is abolished. If an offence warrants a custodial sentence, the sentence is imposed at the point of conviction. The court does not say ‘we’ll send you to prison in six months if you don’t sort yourself out.’ It says ‘you committed the offence, here is the sentence.’ Justice is not probationary.</w:t>
      </w:r>
    </w:p>
    <w:p>
      <w:r>
        <w:br w:type="page"/>
      </w:r>
    </w:p>
    <w:p>
      <w:pPr>
        <w:pStyle w:val="Heading1"/>
      </w:pPr>
      <w:r>
        <w:rPr>
          <w:b/>
          <w:bCs/>
        </w:rPr>
        <w:t xml:space="preserve">Pillar 6: Serious Offenders — No Early Release</w:t>
      </w:r>
    </w:p>
    <w:p>
      <w:pPr>
        <w:spacing w:after="80"/>
      </w:pPr>
    </w:p>
    <w:p>
      <w:pPr>
        <w:pStyle w:val="Heading2"/>
      </w:pPr>
      <w:r>
        <w:rPr>
          <w:b/>
          <w:bCs/>
        </w:rPr>
        <w:t xml:space="preserve">6.1 — Full Sentences for Serious Crime</w:t>
      </w:r>
    </w:p>
    <w:p>
      <w:pPr>
        <w:spacing w:after="160"/>
      </w:pPr>
      <w:r>
        <w:rPr>
          <w:sz w:val="24"/>
          <w:szCs w:val="24"/>
        </w:rPr>
        <w:t xml:space="preserve">Individuals convicted of rape, terrorism, murder, serious sexual offences, violent offences causing grievous bodily harm, and offences involving the exploitation of children will serve their full sentence. No early release. No parole at the halfway point. No automatic release on licence. The sentence imposed by the court is the sentence served in custody.</w:t>
      </w:r>
    </w:p>
    <w:p>
      <w:pPr>
        <w:spacing w:after="160"/>
      </w:pPr>
      <w:r>
        <w:rPr>
          <w:sz w:val="24"/>
          <w:szCs w:val="24"/>
        </w:rPr>
        <w:t xml:space="preserve">The current system, where a convicted rapist sentenced to 12 years is released after 6 on automatic early release, is a lie told to the victim and the public. The judge says 12 years. The system delivers 6. The victim, who was told the sentence was 12 years and built their recovery around that expectation, discovers their attacker is free halfway through. This is not rehabilitation. It is betrayal.</w:t>
      </w:r>
    </w:p>
    <w:p>
      <w:pPr>
        <w:spacing w:after="80"/>
      </w:pPr>
    </w:p>
    <w:p>
      <w:pPr>
        <w:pStyle w:val="Heading2"/>
      </w:pPr>
      <w:r>
        <w:rPr>
          <w:b/>
          <w:bCs/>
        </w:rPr>
        <w:t xml:space="preserve">6.2 — Low-Risk Prisoners: Supervised Day Release</w:t>
      </w:r>
    </w:p>
    <w:p>
      <w:pPr>
        <w:spacing w:after="160"/>
      </w:pPr>
      <w:r>
        <w:rPr>
          <w:sz w:val="24"/>
          <w:szCs w:val="24"/>
        </w:rPr>
        <w:t xml:space="preserve">For prisoners convicted of non-violent, lower-category offences, BUILD will permit supervised day release for defined purposes: funerals of immediate family members; serious illness of immediate family members; essential personal matters (such as court appearances in civil proceedings, housing matters, or medical treatment not available in the prison estate). Day release is supervised, time-limited, and subject to risk assessment. It is a recognition that prisoners are human beings with families, and that removing all connection to their life outside the wall does not aid rehabilitation.</w:t>
      </w:r>
    </w:p>
    <w:p>
      <w:r>
        <w:br w:type="page"/>
      </w:r>
    </w:p>
    <w:p>
      <w:pPr>
        <w:pStyle w:val="Heading1"/>
      </w:pPr>
      <w:r>
        <w:rPr>
          <w:b/>
          <w:bCs/>
        </w:rPr>
        <w:t xml:space="preserve">Pillar 7: Prison Reform — Dignity Without Luxury</w:t>
      </w:r>
    </w:p>
    <w:p>
      <w:pPr>
        <w:spacing w:after="80"/>
      </w:pPr>
    </w:p>
    <w:p>
      <w:pPr>
        <w:pStyle w:val="Heading2"/>
      </w:pPr>
      <w:r>
        <w:rPr>
          <w:b/>
          <w:bCs/>
        </w:rPr>
        <w:t xml:space="preserve">7.1 — End False Comfort</w:t>
      </w:r>
    </w:p>
    <w:p>
      <w:pPr>
        <w:spacing w:after="160"/>
      </w:pPr>
      <w:r>
        <w:rPr>
          <w:sz w:val="24"/>
          <w:szCs w:val="24"/>
        </w:rPr>
        <w:t xml:space="preserve">Games consoles, painted cells, and luxury amenities in prison are abolished. Prison is a consequence. It is not a hostel, a retreat, or a funded gap year. The environment should be clean, safe, warm, and dignified — but it should not be comfortable enough that it ceases to function as a deterrent. A cell has a bed, a desk, a shelf, natural light, ventilation, and access to sanitation. It does not have a PlayStation.</w:t>
      </w:r>
    </w:p>
    <w:p>
      <w:pPr>
        <w:spacing w:after="160"/>
      </w:pPr>
      <w:r>
        <w:rPr>
          <w:sz w:val="24"/>
          <w:szCs w:val="24"/>
        </w:rPr>
        <w:t xml:space="preserve">This is not about cruelty. It is about clarity. A prison that is indistinguishable from a budget hotel sends no message. A prison that is clean, humane, and unmistakably a consequence sends the right one.</w:t>
      </w:r>
    </w:p>
    <w:p>
      <w:pPr>
        <w:spacing w:after="80"/>
      </w:pPr>
    </w:p>
    <w:p>
      <w:pPr>
        <w:pStyle w:val="Heading2"/>
      </w:pPr>
      <w:r>
        <w:rPr>
          <w:b/>
          <w:bCs/>
        </w:rPr>
        <w:t xml:space="preserve">7.2 — Real Food in Prisons</w:t>
      </w:r>
    </w:p>
    <w:p>
      <w:pPr>
        <w:spacing w:after="160"/>
      </w:pPr>
      <w:r>
        <w:rPr>
          <w:sz w:val="24"/>
          <w:szCs w:val="24"/>
        </w:rPr>
        <w:t xml:space="preserve">Prisoners will be fed real food — the same standard as the NHS and school meals under the Food Charter. No microwaved ready meals. No pre-packed trays of reconstituted meat. Real food, cooked in the prison kitchen, from real ingredients, served on plates with proper cutlery under supervised mealtimes.</w:t>
      </w:r>
    </w:p>
    <w:p>
      <w:pPr>
        <w:spacing w:after="160"/>
      </w:pPr>
      <w:r>
        <w:rPr>
          <w:sz w:val="24"/>
          <w:szCs w:val="24"/>
        </w:rPr>
        <w:t xml:space="preserve">Cutlery in prisons is a security concern. The answer is not to remove cutlery entirely and serve food in foil trays with a plastic spork that cannot cut bread. The answer is supervised mealtimes where cutlery is distributed and collected, or purpose-designed heavy-duty cutlery that functions for eating but is tracked and controlled. Prisons already manage metal tools in workshops. They can manage a fork at dinner.</w:t>
      </w:r>
    </w:p>
    <w:p>
      <w:pPr>
        <w:spacing w:after="80"/>
      </w:pPr>
    </w:p>
    <w:p>
      <w:pPr>
        <w:pStyle w:val="Heading2"/>
      </w:pPr>
      <w:r>
        <w:rPr>
          <w:b/>
          <w:bCs/>
        </w:rPr>
        <w:t xml:space="preserve">7.3 — Prison Work and Stipends</w:t>
      </w:r>
    </w:p>
    <w:p>
      <w:pPr>
        <w:spacing w:after="160"/>
      </w:pPr>
      <w:r>
        <w:rPr>
          <w:sz w:val="24"/>
          <w:szCs w:val="24"/>
        </w:rPr>
        <w:t xml:space="preserve">Prisoners who work within the prison estate — kitchen, laundry, maintenance, cleaning, workshop — will be paid a stipend of £5 per day. This is not a wage. It is a recognition that work has value, that idleness destroys people, and that a prisoner who works, earns, and develops routine is more likely to function when released than one who lies on a bunk for 23 hours a day.</w:t>
      </w:r>
    </w:p>
    <w:p>
      <w:pPr>
        <w:spacing w:after="160"/>
      </w:pPr>
      <w:r>
        <w:rPr>
          <w:sz w:val="24"/>
          <w:szCs w:val="24"/>
        </w:rPr>
        <w:t xml:space="preserve">The stipend is modest. It is not exploitative. Five pounds per day covers basic canteen purchases — toiletries, snacks, phone credit to maintain family contact. It gives the prisoner agency, purpose, and a reason to get up. It is more than most prisons currently pay (some pay as little as £1 per day) and less than anyone would call luxury.</w:t>
      </w:r>
    </w:p>
    <w:p>
      <w:pPr>
        <w:spacing w:after="80"/>
      </w:pPr>
    </w:p>
    <w:p>
      <w:pPr>
        <w:pStyle w:val="Heading2"/>
      </w:pPr>
      <w:r>
        <w:rPr>
          <w:b/>
          <w:bCs/>
        </w:rPr>
        <w:t xml:space="preserve">7.4 — Consensual Relationships</w:t>
      </w:r>
    </w:p>
    <w:p>
      <w:pPr>
        <w:spacing w:after="160"/>
      </w:pPr>
      <w:r>
        <w:rPr>
          <w:sz w:val="24"/>
          <w:szCs w:val="24"/>
        </w:rPr>
        <w:t xml:space="preserve">Consensual relationships between prisoners are permitted. Consensual relationships between prisoners and staff are permitted, provided there is no preferential treatment, no exploitation of the power dynamic, and no operational compromise. If two adults in a prison choose to be in a relationship, that is their choice. The prison regulates conduct, not emotion.</w:t>
      </w:r>
    </w:p>
    <w:p>
      <w:pPr>
        <w:spacing w:after="160"/>
      </w:pPr>
      <w:r>
        <w:rPr>
          <w:sz w:val="24"/>
          <w:szCs w:val="24"/>
        </w:rPr>
        <w:t xml:space="preserve">Where a relationship between a staff member and a prisoner creates a conflict of interest — the staff member supervises the prisoner, controls their privileges, or influences their sentence management — the conflict is resolved by reassignment, not by criminalising the relationship. Adults are adults. Even in prison.</w:t>
      </w:r>
    </w:p>
    <w:p>
      <w:r>
        <w:br w:type="page"/>
      </w:r>
    </w:p>
    <w:p>
      <w:pPr>
        <w:pStyle w:val="Heading1"/>
      </w:pPr>
      <w:r>
        <w:rPr>
          <w:b/>
          <w:bCs/>
        </w:rPr>
        <w:t xml:space="preserve">Pillar 8: Get Police Back on the Streets</w:t>
      </w:r>
    </w:p>
    <w:p>
      <w:pPr>
        <w:spacing w:after="80"/>
      </w:pPr>
    </w:p>
    <w:p>
      <w:pPr>
        <w:pStyle w:val="Heading2"/>
      </w:pPr>
      <w:r>
        <w:rPr>
          <w:b/>
          <w:bCs/>
        </w:rPr>
        <w:t xml:space="preserve">8.1 — Speech-to-Text: End the Paperwork Mountain</w:t>
      </w:r>
    </w:p>
    <w:p>
      <w:pPr>
        <w:spacing w:after="160"/>
      </w:pPr>
      <w:r>
        <w:rPr>
          <w:sz w:val="24"/>
          <w:szCs w:val="24"/>
        </w:rPr>
        <w:t xml:space="preserve">Police officers currently spend approximately 40–50% of their working time on paperwork, form-filling, and data entry. Every arrest generates hours of documentation. Every crime report generates a file. Every stop and search generates a record. The officer sits at a desk writing while the streets they are supposed to patrol remain empty.</w:t>
      </w:r>
    </w:p>
    <w:p>
      <w:pPr>
        <w:spacing w:after="160"/>
      </w:pPr>
      <w:r>
        <w:rPr>
          <w:sz w:val="24"/>
          <w:szCs w:val="24"/>
        </w:rPr>
        <w:t xml:space="preserve">BUILD will mandate the adoption of speech-to-text technology across all police forces. Officers dictate their notes, observations, and reports verbally. The system transcribes in real time. The officer reviews, corrects, and submits. A process that currently takes 45 minutes takes 10. The officer is back on the street 35 minutes sooner. Across 130,000 officers, that is millions of extra patrol hours per year with no additional recruitment.</w:t>
      </w:r>
    </w:p>
    <w:p>
      <w:pPr>
        <w:spacing w:after="80"/>
      </w:pPr>
    </w:p>
    <w:p>
      <w:pPr>
        <w:pStyle w:val="Heading2"/>
      </w:pPr>
      <w:r>
        <w:rPr>
          <w:b/>
          <w:bCs/>
        </w:rPr>
        <w:t xml:space="preserve">8.2 — Remote Interview Processing</w:t>
      </w:r>
    </w:p>
    <w:p>
      <w:pPr>
        <w:spacing w:after="160"/>
      </w:pPr>
      <w:r>
        <w:rPr>
          <w:sz w:val="24"/>
          <w:szCs w:val="24"/>
        </w:rPr>
        <w:t xml:space="preserve">The current model for police interviews is inefficient by design. The investigating officer conducts the interview personally, transcribes or reviews the recording, identifies relevant passages, and builds the case file. For routine offences, this ties up a trained detective for hours on a task that could be distributed.</w:t>
      </w:r>
    </w:p>
    <w:p>
      <w:pPr>
        <w:spacing w:after="160"/>
      </w:pPr>
      <w:r>
        <w:rPr>
          <w:sz w:val="24"/>
          <w:szCs w:val="24"/>
        </w:rPr>
        <w:t xml:space="preserve">BUILD will introduce a remote interview processing model. A duty PC at the custody suite conducts the interview using a standard framework. The recording is sent to the investigating officer. Backoffice staff — trained but non-warranted civilian personnel — review the recording, flag relevant passages with timestamps, and prepare a summary. The detective reviews the flagged sections and the summary, not four hours of tape.</w:t>
      </w:r>
    </w:p>
    <w:p>
      <w:pPr>
        <w:spacing w:after="160"/>
      </w:pPr>
      <w:r>
        <w:rPr>
          <w:sz w:val="24"/>
          <w:szCs w:val="24"/>
        </w:rPr>
        <w:t xml:space="preserve">This frees detectives to investigate. It frees uniform officers from custody babysitting duties. It creates skilled civilian roles in police backoffice teams. And it produces a more consistent, reviewable interview record because the framework is standardised rather than dependent on the individual officer’s interview style.</w:t>
      </w:r>
    </w:p>
    <w:p>
      <w:r>
        <w:br w:type="page"/>
      </w:r>
    </w:p>
    <w:p>
      <w:pPr>
        <w:pStyle w:val="Heading1"/>
      </w:pPr>
      <w:r>
        <w:rPr>
          <w:b/>
          <w:bCs/>
        </w:rPr>
        <w:t xml:space="preserve">Pillar 9: Legal Aid</w:t>
      </w:r>
    </w:p>
    <w:p>
      <w:pPr>
        <w:spacing w:after="80"/>
      </w:pPr>
    </w:p>
    <w:p>
      <w:pPr>
        <w:pStyle w:val="Heading2"/>
      </w:pPr>
      <w:r>
        <w:rPr>
          <w:b/>
          <w:bCs/>
        </w:rPr>
        <w:t xml:space="preserve">9.1 — Right to Proper Representation</w:t>
      </w:r>
    </w:p>
    <w:p>
      <w:pPr>
        <w:spacing w:after="160"/>
      </w:pPr>
      <w:r>
        <w:rPr>
          <w:sz w:val="24"/>
          <w:szCs w:val="24"/>
        </w:rPr>
        <w:t xml:space="preserve">Every person accused of a criminal offence has the right to competent legal representation regardless of their income. Legal aid for criminal defence will be funded at a level that attracts qualified, experienced lawyers — not the current model where legal aid rates are so low that most competent solicitors refuse the work, leaving defendants with whoever is left.</w:t>
      </w:r>
    </w:p>
    <w:p>
      <w:pPr>
        <w:spacing w:after="160"/>
      </w:pPr>
      <w:r>
        <w:rPr>
          <w:sz w:val="24"/>
          <w:szCs w:val="24"/>
        </w:rPr>
        <w:t xml:space="preserve">The right to a fair trial is meaningless without the right to a lawyer who can actually mount a defence. A defendant who cannot afford a solicitor and is assigned a legal aid lawyer who is overworked, underpaid, and handling 40 cases simultaneously does not have representation. They have a warm body in a suit sitting next to them while the system processes them.</w:t>
      </w:r>
    </w:p>
    <w:p>
      <w:pPr>
        <w:spacing w:after="80"/>
      </w:pPr>
    </w:p>
    <w:p>
      <w:pPr>
        <w:pStyle w:val="Heading2"/>
      </w:pPr>
      <w:r>
        <w:rPr>
          <w:b/>
          <w:bCs/>
        </w:rPr>
        <w:t xml:space="preserve">9.2 — Translation: At the Suspect’s Cost</w:t>
      </w:r>
    </w:p>
    <w:p>
      <w:pPr>
        <w:spacing w:after="160"/>
      </w:pPr>
      <w:r>
        <w:rPr>
          <w:sz w:val="24"/>
          <w:szCs w:val="24"/>
        </w:rPr>
        <w:t xml:space="preserve">Legal aid funds the lawyer. It does not fund translation services. If a suspect requires an interpreter, the cost is borne by the suspect, not by the public purse. The right to a fair trial requires that the suspect understands the proceedings. The responsibility for providing that understanding, where it requires translation from another language, rests with the suspect.</w:t>
      </w:r>
    </w:p>
    <w:p>
      <w:pPr>
        <w:spacing w:after="160"/>
      </w:pPr>
      <w:r>
        <w:rPr>
          <w:sz w:val="24"/>
          <w:szCs w:val="24"/>
        </w:rPr>
        <w:t xml:space="preserve">For suspects who genuinely cannot afford translation and would otherwise be denied a fair trial, a means-tested contribution scheme will be available — but the default position is that translation is a personal cost, not a state subsidy.</w:t>
      </w:r>
    </w:p>
    <w:p>
      <w:r>
        <w:br w:type="page"/>
      </w:r>
    </w:p>
    <w:p>
      <w:pPr>
        <w:pStyle w:val="Heading1"/>
      </w:pPr>
      <w:r>
        <w:rPr>
          <w:b/>
          <w:bCs/>
        </w:rPr>
        <w:t xml:space="preserve">Pillar 10: Drug Dealing — Firm Sentencing</w:t>
      </w:r>
    </w:p>
    <w:p>
      <w:pPr>
        <w:spacing w:after="80"/>
      </w:pPr>
    </w:p>
    <w:p>
      <w:pPr>
        <w:pStyle w:val="Heading2"/>
      </w:pPr>
      <w:r>
        <w:rPr>
          <w:b/>
          <w:bCs/>
        </w:rPr>
        <w:t xml:space="preserve">10.1 — Recriminalise Serious Drug Dealing</w:t>
      </w:r>
    </w:p>
    <w:p>
      <w:pPr>
        <w:spacing w:after="160"/>
      </w:pPr>
      <w:r>
        <w:rPr>
          <w:sz w:val="24"/>
          <w:szCs w:val="24"/>
        </w:rPr>
        <w:t xml:space="preserve">The Life, Liberty &amp; Freedom Charter decriminalises cannabis and provides harm reduction centres for personal drug use. This charter addresses the other side: the supply chain. Dealing in controlled substances — excluding cannabis, which is regulated separately — remains a serious criminal offence with firm sentencing.</w:t>
      </w:r>
    </w:p>
    <w:p>
      <w:pPr>
        <w:spacing w:after="160"/>
      </w:pPr>
      <w:r>
        <w:rPr>
          <w:sz w:val="24"/>
          <w:szCs w:val="24"/>
        </w:rPr>
        <w:t xml:space="preserve">County lines operations, exploitation of children and vulnerable adults as drug runners, and large-scale supply operations will be treated as serious organised crime and sentenced accordingly. The dealer who exploits an addict is not a victim of circumstance. They are a predator. The sentence will reflect that.</w:t>
      </w:r>
    </w:p>
    <w:p>
      <w:pPr>
        <w:spacing w:after="80"/>
      </w:pPr>
    </w:p>
    <w:p>
      <w:pPr>
        <w:pStyle w:val="Heading2"/>
      </w:pPr>
      <w:r>
        <w:rPr>
          <w:b/>
          <w:bCs/>
        </w:rPr>
        <w:t xml:space="preserve">10.2 — Local Impact Review</w:t>
      </w:r>
    </w:p>
    <w:p>
      <w:pPr>
        <w:spacing w:after="160"/>
      </w:pPr>
      <w:r>
        <w:rPr>
          <w:sz w:val="24"/>
          <w:szCs w:val="24"/>
        </w:rPr>
        <w:t xml:space="preserve">Sentencing for drug dealing will include a mandatory local impact review — a statement from the community affected by the dealing, presented to the court, describing the effect on residents, families, and the neighbourhood. The court will consider the community impact alongside the offence when determining the sentence. Drug dealing is not a victimless crime. The victims are the streets it happens on, the families it destroys, and the children who grow up watching it. The court will hear from them.</w:t>
      </w:r>
    </w:p>
    <w:p>
      <w:r>
        <w:br w:type="page"/>
      </w:r>
    </w:p>
    <w:p>
      <w:pPr>
        <w:pStyle w:val="Heading1"/>
      </w:pPr>
      <w:r>
        <w:rPr>
          <w:b/>
          <w:bCs/>
        </w:rPr>
        <w:t xml:space="preserve">Pillar 11: PCAR — The Sentencing Framework</w:t>
      </w:r>
    </w:p>
    <w:p>
      <w:pPr>
        <w:spacing w:after="80"/>
      </w:pPr>
    </w:p>
    <w:p>
      <w:pPr>
        <w:spacing w:after="160"/>
        <w:rPr>
          <w:i/>
          <w:iCs/>
        </w:rPr>
      </w:pPr>
      <w:r>
        <w:rPr>
          <w:i/>
          <w:iCs/>
          <w:sz w:val="24"/>
          <w:szCs w:val="24"/>
        </w:rPr>
        <w:t xml:space="preserve">Before you sentence someone, understand them. Before you punish an action, understand what caused it. Before you close the case, restore the person who was harmed. PCAR is the framework that makes justice human.</w:t>
      </w:r>
    </w:p>
    <w:p>
      <w:pPr>
        <w:spacing w:after="80"/>
      </w:pPr>
    </w:p>
    <w:p>
      <w:pPr>
        <w:pStyle w:val="Heading2"/>
      </w:pPr>
      <w:r>
        <w:rPr>
          <w:b/>
          <w:bCs/>
        </w:rPr>
        <w:t xml:space="preserve">11.1 — P: Person</w:t>
      </w:r>
    </w:p>
    <w:p>
      <w:pPr>
        <w:spacing w:after="160"/>
      </w:pPr>
      <w:r>
        <w:rPr>
          <w:sz w:val="24"/>
          <w:szCs w:val="24"/>
        </w:rPr>
        <w:t xml:space="preserve">Who is the person in front of the court? Not just their name and date of birth. Who are they? Why did they do what they did? Where have they come from? What is their background — not as mitigation theatre for the defence barrister, but as genuine context that the court must understand before it can deliver a just outcome.</w:t>
      </w:r>
    </w:p>
    <w:p>
      <w:pPr>
        <w:spacing w:after="160"/>
      </w:pPr>
      <w:r>
        <w:rPr>
          <w:sz w:val="24"/>
          <w:szCs w:val="24"/>
        </w:rPr>
        <w:t xml:space="preserve">A 19-year-old who grew up in care, was failed by the mental health system, left with no support at 18, and committed a theft to eat is not the same as a 40-year-old career shoplifter. The offence may be identical on the charge sheet. The person is not. And a system that treats both identically is not delivering justice. It is processing paperwork.</w:t>
      </w:r>
    </w:p>
    <w:p>
      <w:pPr>
        <w:spacing w:after="160"/>
      </w:pPr>
      <w:r>
        <w:rPr>
          <w:sz w:val="24"/>
          <w:szCs w:val="24"/>
        </w:rPr>
        <w:t xml:space="preserve">The court will receive a PCAR report before sentencing. The report’s Person section will identify: the individual’s background, including care history, education, health (physical and mental), housing, employment, and support networks; the circumstances leading to the offence; and any vulnerabilities, disabilities, or conditions relevant to understanding why the offence occurred.</w:t>
      </w:r>
    </w:p>
    <w:p>
      <w:pPr>
        <w:spacing w:after="80"/>
      </w:pPr>
    </w:p>
    <w:p>
      <w:pPr>
        <w:pStyle w:val="Heading2"/>
      </w:pPr>
      <w:r>
        <w:rPr>
          <w:b/>
          <w:bCs/>
        </w:rPr>
        <w:t xml:space="preserve">11.2 — C: Cause</w:t>
      </w:r>
    </w:p>
    <w:p>
      <w:pPr>
        <w:spacing w:after="160"/>
      </w:pPr>
      <w:r>
        <w:rPr>
          <w:sz w:val="24"/>
          <w:szCs w:val="24"/>
        </w:rPr>
        <w:t xml:space="preserve">What caused this offence? Not just the proximate decision to break the law, but the systemic failures that led to that moment. Did the DWP sanction their benefits, leaving them with no money for food? Did the NHS waiting list leave their mental health untreated for two years? Did social services close their case and walk away? Did the housing association evict them into homelessness? Did the school exclude them at 14 and nobody followed up?</w:t>
      </w:r>
    </w:p>
    <w:p>
      <w:pPr>
        <w:spacing w:after="160"/>
      </w:pPr>
      <w:r>
        <w:rPr>
          <w:sz w:val="24"/>
          <w:szCs w:val="24"/>
        </w:rPr>
        <w:t xml:space="preserve">The Cause section of the PCAR report identifies every public body whose failure contributed to the circumstances of the offence. This is not a fishing expedition for excuses. It is a structured, evidenced assessment of whether the state played a role in creating the situation that led to the crime. Where it did, the State Contributory Liability framework (Pillar 12) applies.</w:t>
      </w:r>
    </w:p>
    <w:p>
      <w:pPr>
        <w:spacing w:after="160"/>
      </w:pPr>
      <w:r>
        <w:rPr>
          <w:sz w:val="24"/>
          <w:szCs w:val="24"/>
        </w:rPr>
        <w:t xml:space="preserve">The cause bands are: Decisive — it probably would not have happened without the state failure. Substantial — the failure materially increased the likelihood or seriousness. Relevant — the failure was part of the background but did not drive it. Immaterial — no real connection.</w:t>
      </w:r>
    </w:p>
    <w:p>
      <w:pPr>
        <w:spacing w:after="80"/>
      </w:pPr>
    </w:p>
    <w:p>
      <w:pPr>
        <w:pStyle w:val="Heading2"/>
      </w:pPr>
      <w:r>
        <w:rPr>
          <w:b/>
          <w:bCs/>
        </w:rPr>
        <w:t xml:space="preserve">11.3 — A: Action</w:t>
      </w:r>
    </w:p>
    <w:p>
      <w:pPr>
        <w:spacing w:after="160"/>
      </w:pPr>
      <w:r>
        <w:rPr>
          <w:sz w:val="24"/>
          <w:szCs w:val="24"/>
        </w:rPr>
        <w:t xml:space="preserve">What sentence is appropriate, given the person and the cause? The Action section of PCAR requires the court to determine a sentence that reflects the full picture — not just the offence in isolation, but the person who committed it and the systemic failures that contributed to it.</w:t>
      </w:r>
    </w:p>
    <w:p>
      <w:pPr>
        <w:spacing w:after="160"/>
      </w:pPr>
      <w:r>
        <w:rPr>
          <w:sz w:val="24"/>
          <w:szCs w:val="24"/>
        </w:rPr>
        <w:t xml:space="preserve">Where the cause is Decisive and the person poses no ongoing risk, the court issues a State-Caused Offence Declaration: the act is recorded, but no punitive sentence is imposed. The state caused it. The state fixes it. The individual is not punished for the state’s failure.</w:t>
      </w:r>
    </w:p>
    <w:p>
      <w:pPr>
        <w:spacing w:after="160"/>
      </w:pPr>
      <w:r>
        <w:rPr>
          <w:sz w:val="24"/>
          <w:szCs w:val="24"/>
        </w:rPr>
        <w:t xml:space="preserve">Where the cause is Substantial, the sentence is reduced in direct proportion to the state’s share of responsibility. Where the cause is Relevant or Immaterial, the sentence reflects the individual’s culpability, but the court’s awareness of the background informs the type of sentence (community order vs. custody, rehabilitation vs. punishment).</w:t>
      </w:r>
    </w:p>
    <w:p>
      <w:pPr>
        <w:spacing w:after="80"/>
      </w:pPr>
    </w:p>
    <w:p>
      <w:pPr>
        <w:pStyle w:val="Heading2"/>
      </w:pPr>
      <w:r>
        <w:rPr>
          <w:b/>
          <w:bCs/>
        </w:rPr>
        <w:t xml:space="preserve">11.4 — R: Restore</w:t>
      </w:r>
    </w:p>
    <w:p>
      <w:pPr>
        <w:spacing w:after="160"/>
      </w:pPr>
      <w:r>
        <w:rPr>
          <w:sz w:val="24"/>
          <w:szCs w:val="24"/>
        </w:rPr>
        <w:t xml:space="preserve">What can be done to restore the victim? PCAR does not forget the person who was harmed. The final element of the framework asks: what does the victim need, and what can the offender do to provide it?</w:t>
      </w:r>
    </w:p>
    <w:p>
      <w:pPr>
        <w:spacing w:after="160"/>
      </w:pPr>
      <w:r>
        <w:rPr>
          <w:sz w:val="24"/>
          <w:szCs w:val="24"/>
        </w:rPr>
        <w:t xml:space="preserve">Restoration may include: direct compensation or restitution; a restorative justice conference where the victim and offender meet (voluntarily) and the offender understands the impact of their actions; community service that directly benefits the victim or the community harmed; a written apology or acknowledgement.</w:t>
      </w:r>
    </w:p>
    <w:p>
      <w:pPr>
        <w:spacing w:after="160"/>
      </w:pPr>
      <w:r>
        <w:rPr>
          <w:sz w:val="24"/>
          <w:szCs w:val="24"/>
        </w:rPr>
        <w:t xml:space="preserve">Restoration is not a substitute for justice. It is the other half of it. The criminal system determines guilt and consequence. PCAR ensures that consequence includes putting something right, not just inflicting something back.</w:t>
      </w:r>
    </w:p>
    <w:p>
      <w:r>
        <w:br w:type="page"/>
      </w:r>
    </w:p>
    <w:p>
      <w:pPr>
        <w:pStyle w:val="Heading1"/>
      </w:pPr>
      <w:r>
        <w:rPr>
          <w:b/>
          <w:bCs/>
        </w:rPr>
        <w:t xml:space="preserve">Pillar 12: State Contributory Liability</w:t>
      </w:r>
    </w:p>
    <w:p>
      <w:pPr>
        <w:spacing w:after="80"/>
      </w:pPr>
    </w:p>
    <w:p>
      <w:pPr>
        <w:pBdr>
          <w:left w:val="single" w:color="444444" w:sz="6" w:space="8"/>
        </w:pBdr>
        <w:spacing w:after="200"/>
        <w:ind w:left="720" w:right="720"/>
      </w:pPr>
      <w:r>
        <w:rPr>
          <w:i/>
          <w:iCs/>
          <w:color w:val="333333"/>
          <w:sz w:val="24"/>
          <w:szCs w:val="24"/>
        </w:rPr>
        <w:t xml:space="preserve">The state does not get to cause the harm and then punish the person it harmed.</w:t>
      </w:r>
    </w:p>
    <w:p>
      <w:pPr>
        <w:spacing w:after="80"/>
      </w:pPr>
    </w:p>
    <w:p>
      <w:pPr>
        <w:pStyle w:val="Heading2"/>
      </w:pPr>
      <w:r>
        <w:rPr>
          <w:b/>
          <w:bCs/>
        </w:rPr>
        <w:t xml:space="preserve">12.1 — The Principle</w:t>
      </w:r>
    </w:p>
    <w:p>
      <w:pPr>
        <w:spacing w:after="160"/>
      </w:pPr>
      <w:r>
        <w:rPr>
          <w:sz w:val="24"/>
          <w:szCs w:val="24"/>
        </w:rPr>
        <w:t xml:space="preserve">Where a public body created, intensified, or knowingly failed to relieve the conditions that directly produced an offence, the court must determine that contribution before passing sentence. The state may not rely upon the criminal courts to punish the foreseeable consequences of its own unlawful, reckless, or persistently defective administration.</w:t>
      </w:r>
    </w:p>
    <w:p>
      <w:pPr>
        <w:spacing w:after="160"/>
      </w:pPr>
      <w:r>
        <w:rPr>
          <w:sz w:val="24"/>
          <w:szCs w:val="24"/>
        </w:rPr>
        <w:t xml:space="preserve">This is the legal foundation of the PCAR framework’s Cause element. It gives the court the statutory power to join the failing public body to the proceedings as a State Contributor, compel disclosure of records, and hold the body accountable alongside the individual.</w:t>
      </w:r>
    </w:p>
    <w:p>
      <w:pPr>
        <w:spacing w:after="80"/>
      </w:pPr>
    </w:p>
    <w:p>
      <w:pPr>
        <w:pStyle w:val="Heading2"/>
      </w:pPr>
      <w:r>
        <w:rPr>
          <w:b/>
          <w:bCs/>
        </w:rPr>
        <w:t xml:space="preserve">12.2 — Joint Accountability</w:t>
      </w:r>
    </w:p>
    <w:p>
      <w:pPr>
        <w:spacing w:after="160"/>
      </w:pPr>
      <w:r>
        <w:rPr>
          <w:sz w:val="24"/>
          <w:szCs w:val="24"/>
        </w:rPr>
        <w:t xml:space="preserve">Where evidence establishes that a public body materially contributed to an alleged offence, the court joins that body to the proceedings as a State Contributor. The State Contributor must: receive formal notice of the alleged failure; disclose all relevant internal records, notes, and case files; provide a legally accountable representative to attend proceedings; and answer judicial findings of fact and causation.</w:t>
      </w:r>
    </w:p>
    <w:p>
      <w:pPr>
        <w:spacing w:after="160"/>
      </w:pPr>
      <w:r>
        <w:rPr>
          <w:sz w:val="24"/>
          <w:szCs w:val="24"/>
        </w:rPr>
        <w:t xml:space="preserve">The public body is not on trial for a criminal offence. It is being held accountable for its contribution to the circumstances that produced one. It must turn up. It must send someone who can answer for it. It must hand over its paperwork. And if the paperwork is missing because they never assessed the person, never recorded the contact, never provided the support the law required — that gap is theirs. When the state loses the evidence, the missing evidence is the evidence.</w:t>
      </w:r>
    </w:p>
    <w:p>
      <w:pPr>
        <w:spacing w:after="80"/>
      </w:pPr>
    </w:p>
    <w:p>
      <w:pPr>
        <w:pStyle w:val="Heading2"/>
      </w:pPr>
      <w:r>
        <w:rPr>
          <w:b/>
          <w:bCs/>
        </w:rPr>
        <w:t xml:space="preserve">12.3 — The State Restoration Fund</w:t>
      </w:r>
    </w:p>
    <w:p>
      <w:pPr>
        <w:spacing w:after="160"/>
      </w:pPr>
      <w:r>
        <w:rPr>
          <w:sz w:val="24"/>
          <w:szCs w:val="24"/>
        </w:rPr>
        <w:t xml:space="preserve">A standing State Restoration Fund, administered by HM Treasury, pays for all restoration orders immediately. Not after an internal review. Not after a reconsideration. Not after a tribunal. Not after a budget-holder signs it off. Not after departments finish arguing about whose fault it is.</w:t>
      </w:r>
    </w:p>
    <w:p>
      <w:pPr>
        <w:spacing w:after="160"/>
      </w:pPr>
      <w:r>
        <w:rPr>
          <w:sz w:val="24"/>
          <w:szCs w:val="24"/>
        </w:rPr>
        <w:t xml:space="preserve">Emergency orders are paid within 48 hours — faster where it concerns food, shelter, medicine, or safety. The department that failed then pays the Fund back — out of its own administrative and executive budget. Never out of frontline benefits. Never out of patient care. Never out of housing or safeguarding. Never out of anything that would just move the harm onto someone else.</w:t>
      </w:r>
    </w:p>
    <w:p>
      <w:pPr>
        <w:spacing w:after="160"/>
      </w:pPr>
      <w:r>
        <w:rPr>
          <w:sz w:val="24"/>
          <w:szCs w:val="24"/>
        </w:rPr>
        <w:t xml:space="preserve">And if they drag their feet: a surcharge against their central budget, the accounting officer hauled in, independent monitoring, and Parliament told. ‘No budget code,’ ‘It’s not clear whose job it is,’ ‘Procurement is slow,’ ‘Nobody approved it’ — none of these is an excuse. The charter says so.</w:t>
      </w:r>
    </w:p>
    <w:p>
      <w:pPr>
        <w:spacing w:after="80"/>
      </w:pPr>
    </w:p>
    <w:p>
      <w:pPr>
        <w:pStyle w:val="Heading2"/>
      </w:pPr>
      <w:r>
        <w:rPr>
          <w:b/>
          <w:bCs/>
        </w:rPr>
        <w:t xml:space="preserve">12.4 — The Full Legal Code</w:t>
      </w:r>
    </w:p>
    <w:p>
      <w:pPr>
        <w:spacing w:after="160"/>
      </w:pPr>
      <w:r>
        <w:rPr>
          <w:sz w:val="24"/>
          <w:szCs w:val="24"/>
        </w:rPr>
        <w:t xml:space="preserve">The Restorative Justice (State Contributory Liability) Code — the full legal text underlying this pillar — is published as a companion document to this charter. It contains the complete legislative framework including Part 1 (Core Principles), Part 2 (Jurisdictional Mechanics), Part 3 (Findings and Orders), Part 4 (Remedies and Financial Enforcement), and Part 5 (Appeals and Independent Review via the Restoration Appeals Tribunal). The full Code is available at builduk.club.</w:t>
      </w:r>
    </w:p>
    <w:p>
      <w:r>
        <w:br w:type="page"/>
      </w:r>
    </w:p>
    <w:p>
      <w:pPr>
        <w:pStyle w:val="Heading1"/>
      </w:pPr>
      <w:r>
        <w:rPr>
          <w:b/>
          <w:bCs/>
        </w:rPr>
        <w:t xml:space="preserve">Pillar 13: Victim Support</w:t>
      </w:r>
    </w:p>
    <w:p>
      <w:pPr>
        <w:spacing w:after="80"/>
      </w:pPr>
    </w:p>
    <w:p>
      <w:pPr>
        <w:pStyle w:val="Heading2"/>
      </w:pPr>
      <w:r>
        <w:rPr>
          <w:b/>
          <w:bCs/>
        </w:rPr>
        <w:t xml:space="preserve">13.1 — Support Ends When the Victim Is Ready</w:t>
      </w:r>
    </w:p>
    <w:p>
      <w:pPr>
        <w:spacing w:after="160"/>
      </w:pPr>
      <w:r>
        <w:rPr>
          <w:sz w:val="24"/>
          <w:szCs w:val="24"/>
        </w:rPr>
        <w:t xml:space="preserve">Victim support services will not be withdrawn on an arbitrary timeline. Support ends when the victim says it ends. Not when a funding cycle expires. Not when a contract period concludes. Not when a caseworker decides the victim should have ‘moved on.’ The victim decides when they are ready. The service remains available until they do.</w:t>
      </w:r>
    </w:p>
    <w:p>
      <w:pPr>
        <w:spacing w:after="160"/>
      </w:pPr>
      <w:r>
        <w:rPr>
          <w:sz w:val="24"/>
          <w:szCs w:val="24"/>
        </w:rPr>
        <w:t xml:space="preserve">A rape victim who needs support for five years gets it for five years. A family who lost someone to violence and needs help for a decade gets it for a decade. A child who witnessed domestic abuse and needs therapy into adulthood gets therapy into adulthood. The trauma does not follow a commissioning schedule. The support will not either.</w:t>
      </w:r>
    </w:p>
    <w:p>
      <w:pPr>
        <w:spacing w:after="80"/>
      </w:pPr>
    </w:p>
    <w:p>
      <w:pPr>
        <w:pStyle w:val="Heading2"/>
      </w:pPr>
      <w:r>
        <w:rPr>
          <w:b/>
          <w:bCs/>
        </w:rPr>
        <w:t xml:space="preserve">13.2 — Support for the Offender</w:t>
      </w:r>
    </w:p>
    <w:p>
      <w:pPr>
        <w:spacing w:after="160"/>
      </w:pPr>
      <w:r>
        <w:rPr>
          <w:sz w:val="24"/>
          <w:szCs w:val="24"/>
        </w:rPr>
        <w:t xml:space="preserve">Where an offender has mental health conditions, physical health needs, addiction, or other vulnerabilities that contributed to the offence, support is offered alongside and as part of the sentence — not instead of accountability, but as a component of it. A person who committed a crime because they were psychotic and untreated is not helped by a prison cell without treatment. They are helped by treatment. The sentence reflects the accountability. The support addresses the cause. Both happen.</w:t>
      </w:r>
    </w:p>
    <w:p>
      <w:pPr>
        <w:spacing w:after="160"/>
      </w:pPr>
      <w:r>
        <w:rPr>
          <w:sz w:val="24"/>
          <w:szCs w:val="24"/>
        </w:rPr>
        <w:t xml:space="preserve">This connects directly to the PCAR framework. The Person assessment identifies the vulnerability. The Cause assessment identifies the systemic failure. The Action determines the appropriate sentence. And the Restore element ensures that both the victim and the offender receive what they need to move forward — because a justice system that punishes without restoring anyone is not a justice system. It is a recycling plant.</w:t>
      </w:r>
    </w:p>
    <w:p>
      <w:r>
        <w:br w:type="page"/>
      </w:r>
    </w:p>
    <w:p>
      <w:pPr>
        <w:pStyle w:val="Heading1"/>
      </w:pPr>
      <w:r>
        <w:rPr>
          <w:b/>
          <w:bCs/>
        </w:rPr>
        <w:t xml:space="preserve">Pillar 14: CHER — Corporate Harm Framework</w:t>
      </w:r>
    </w:p>
    <w:p>
      <w:pPr>
        <w:spacing w:after="80"/>
      </w:pPr>
    </w:p>
    <w:p>
      <w:pPr>
        <w:spacing w:after="160"/>
        <w:rPr>
          <w:i/>
          <w:iCs/>
        </w:rPr>
      </w:pPr>
      <w:r>
        <w:rPr>
          <w:i/>
          <w:iCs/>
          <w:sz w:val="24"/>
          <w:szCs w:val="24"/>
        </w:rPr>
        <w:t xml:space="preserve">PCAR handles people. CHER handles corporations. When a company poisons children, kills care home residents, contaminates water supplies, or defrauds the public, CHER ensures that the harm is named, the victims are counted, the ongoing damage is assessed, and the restitution is binding.</w:t>
      </w:r>
    </w:p>
    <w:p>
      <w:pPr>
        <w:spacing w:after="80"/>
      </w:pPr>
    </w:p>
    <w:p>
      <w:pPr>
        <w:pStyle w:val="Heading2"/>
      </w:pPr>
      <w:r>
        <w:rPr>
          <w:b/>
          <w:bCs/>
        </w:rPr>
        <w:t xml:space="preserve">14.1 — The Four Elements</w:t>
      </w:r>
    </w:p>
    <w:p>
      <w:pPr>
        <w:spacing w:after="160"/>
        <w:rPr>
          <w:b/>
          <w:bCs/>
        </w:rPr>
      </w:pPr>
      <w:r>
        <w:rPr>
          <w:b/>
          <w:bCs/>
          <w:sz w:val="24"/>
          <w:szCs w:val="24"/>
        </w:rPr>
        <w:t xml:space="preserve">Cause</w:t>
      </w:r>
    </w:p>
    <w:p>
      <w:pPr>
        <w:spacing w:after="160"/>
      </w:pPr>
      <w:r>
        <w:rPr>
          <w:sz w:val="24"/>
          <w:szCs w:val="24"/>
        </w:rPr>
        <w:t xml:space="preserve">What decision, incentive, or governance failure created the harm? Not ‘an accident occurred.’ Not ‘lessons have been learned.’ What specific decision, by what specific person, driven by what specific incentive, produced the outcome? A company that deferred £28 million of pipe replacement to protect £42 million in dividends made a decision. A care home operator running ‘minimum viable care’ to extract £12.6 million made a decision. CHER names the decision, the person who made it, and the incentive that drove it.</w:t>
      </w:r>
    </w:p>
    <w:p>
      <w:pPr>
        <w:spacing w:after="160"/>
        <w:rPr>
          <w:b/>
          <w:bCs/>
        </w:rPr>
      </w:pPr>
      <w:r>
        <w:rPr>
          <w:b/>
          <w:bCs/>
          <w:sz w:val="24"/>
          <w:szCs w:val="24"/>
        </w:rPr>
        <w:t xml:space="preserve">Harm</w:t>
      </w:r>
    </w:p>
    <w:p>
      <w:pPr>
        <w:spacing w:after="160"/>
      </w:pPr>
      <w:r>
        <w:rPr>
          <w:sz w:val="24"/>
          <w:szCs w:val="24"/>
        </w:rPr>
        <w:t xml:space="preserve">Who was injured, killed, poisoned, displaced, exploited, or defrauded? Not a statistical abstract. Named victims where possible. Three children died. 1,400 children under five were exposed to lead. Twenty-three falls, nine hip fractures, three grade 4 pressure ulcers. Dorothy Akinola died. Arthur Kedwell died on a crossing. The harm is specific, documented, and placed before the court in human terms.</w:t>
      </w:r>
    </w:p>
    <w:p>
      <w:pPr>
        <w:spacing w:after="160"/>
        <w:rPr>
          <w:b/>
          <w:bCs/>
        </w:rPr>
      </w:pPr>
      <w:r>
        <w:rPr>
          <w:b/>
          <w:bCs/>
          <w:sz w:val="24"/>
          <w:szCs w:val="24"/>
        </w:rPr>
        <w:t xml:space="preserve">Effect</w:t>
      </w:r>
    </w:p>
    <w:p>
      <w:pPr>
        <w:spacing w:after="160"/>
      </w:pPr>
      <w:r>
        <w:rPr>
          <w:sz w:val="24"/>
          <w:szCs w:val="24"/>
        </w:rPr>
        <w:t xml:space="preserve">What ongoing damage remains after the crime itself? The contamination is still in the soil. The neurological damage in the children is irreversible. The bereaved family is still bereaved. The workforce is still employed by a company that killed people. The effect is not resolved by the sentence. It continues. The court must account for it.</w:t>
      </w:r>
    </w:p>
    <w:p>
      <w:pPr>
        <w:spacing w:after="160"/>
        <w:rPr>
          <w:b/>
          <w:bCs/>
        </w:rPr>
      </w:pPr>
      <w:r>
        <w:rPr>
          <w:b/>
          <w:bCs/>
          <w:sz w:val="24"/>
          <w:szCs w:val="24"/>
        </w:rPr>
        <w:t xml:space="preserve">Restitution</w:t>
      </w:r>
    </w:p>
    <w:p>
      <w:pPr>
        <w:spacing w:after="160"/>
      </w:pPr>
      <w:r>
        <w:rPr>
          <w:sz w:val="24"/>
          <w:szCs w:val="24"/>
        </w:rPr>
        <w:t xml:space="preserve">What must be repaired, funded, removed, rebuilt, or permanently changed? Not a fine that the company writes off as a cost of doing business. Structural restitution: the contamination is cleaned up, the care home is rebuilt, the water system is replaced, the victims are compensated, the workforce is preserved, and the leadership that made the decision is permanently removed from any position of authority.</w:t>
      </w:r>
    </w:p>
    <w:p>
      <w:r>
        <w:br w:type="page"/>
      </w:r>
    </w:p>
    <w:p>
      <w:pPr>
        <w:pStyle w:val="Heading1"/>
      </w:pPr>
      <w:r>
        <w:rPr>
          <w:b/>
          <w:bCs/>
        </w:rPr>
        <w:t xml:space="preserve">Pillar 15: Corporate Absorption — Workers Stay, Poisoners Go</w:t>
      </w:r>
    </w:p>
    <w:p>
      <w:pPr>
        <w:spacing w:after="80"/>
      </w:pPr>
    </w:p>
    <w:p>
      <w:pPr>
        <w:pBdr>
          <w:left w:val="single" w:color="444444" w:sz="6" w:space="8"/>
        </w:pBdr>
        <w:spacing w:after="200"/>
        <w:ind w:left="720" w:right="720"/>
      </w:pPr>
      <w:r>
        <w:rPr>
          <w:i/>
          <w:iCs/>
          <w:color w:val="333333"/>
          <w:sz w:val="24"/>
          <w:szCs w:val="24"/>
        </w:rPr>
        <w:t xml:space="preserve">No company is too big to punish. Some are too important to collapse.</w:t>
      </w:r>
    </w:p>
    <w:p>
      <w:pPr>
        <w:spacing w:after="80"/>
      </w:pPr>
    </w:p>
    <w:p>
      <w:pPr>
        <w:pStyle w:val="Heading2"/>
      </w:pPr>
      <w:r>
        <w:rPr>
          <w:b/>
          <w:bCs/>
        </w:rPr>
        <w:t xml:space="preserve">15.1 — The Problem with Corporate Fines</w:t>
      </w:r>
    </w:p>
    <w:p>
      <w:pPr>
        <w:spacing w:after="160"/>
      </w:pPr>
      <w:r>
        <w:rPr>
          <w:sz w:val="24"/>
          <w:szCs w:val="24"/>
        </w:rPr>
        <w:t xml:space="preserve">When a corporation kills people, the current system fines it. The fine is absorbed into the accounts. The share price dips for a week. The CEO issues a statement about ‘lessons learned.’ The board remains. The shareholders remain. The incentive structure that produced the killing remains. And within a year, the company is doing exactly what it was doing before, because the fine was cheaper than fixing the problem.</w:t>
      </w:r>
    </w:p>
    <w:p>
      <w:pPr>
        <w:spacing w:after="160"/>
      </w:pPr>
      <w:r>
        <w:rPr>
          <w:sz w:val="24"/>
          <w:szCs w:val="24"/>
        </w:rPr>
        <w:t xml:space="preserve">Fining a corporation for killing people is like fining a serial killer and letting them keep the knife. The tool of the harm — the governance, the incentive, the decision-making structure — remains in the hands of the people who used it. BUILD will take it away.</w:t>
      </w:r>
    </w:p>
    <w:p>
      <w:pPr>
        <w:spacing w:after="80"/>
      </w:pPr>
    </w:p>
    <w:p>
      <w:pPr>
        <w:pStyle w:val="Heading2"/>
      </w:pPr>
      <w:r>
        <w:rPr>
          <w:b/>
          <w:bCs/>
        </w:rPr>
        <w:t xml:space="preserve">15.2 — Utilico</w:t>
      </w:r>
    </w:p>
    <w:p>
      <w:pPr>
        <w:spacing w:after="160"/>
      </w:pPr>
      <w:r>
        <w:rPr>
          <w:sz w:val="24"/>
          <w:szCs w:val="24"/>
        </w:rPr>
        <w:t xml:space="preserve">For industrial, infrastructure, energy, and commercial companies convicted of corporate manslaughter, mass environmental harm, or systematic fraud, the court may issue a Utilico order. Utilico absorbs the entity into public or trust ownership. The existing leadership is permanently removed. All shares are voided. The workforce is preserved under TUPE. Operations continue. Profits are redirected to restitution — cleaning up the contamination, compensating the victims, restoring the community.</w:t>
      </w:r>
    </w:p>
    <w:p>
      <w:pPr>
        <w:spacing w:after="160"/>
      </w:pPr>
      <w:r>
        <w:rPr>
          <w:sz w:val="24"/>
          <w:szCs w:val="24"/>
        </w:rPr>
        <w:t xml:space="preserve">Utilico does not destroy the company. It destroys the ownership that used it as a weapon. The workers who had no say in the decision to cut corners, defer maintenance, or suppress safety data keep their jobs. The executives who made those decisions lose everything — their positions, their shares, their bonuses, and their right to hold any corporate leadership role in the future.</w:t>
      </w:r>
    </w:p>
    <w:p>
      <w:pPr>
        <w:spacing w:after="160"/>
      </w:pPr>
      <w:r>
        <w:rPr>
          <w:sz w:val="24"/>
          <w:szCs w:val="24"/>
        </w:rPr>
        <w:t xml:space="preserve">Precedent exists. Northern Rock was nationalised. East Coast Mainline was taken into public operation. Carillion collapsed and was absorbed. The mechanism is proven. What is new is applying it as a sentencing tool — not as an emergency rescue of a failing business, but as a judicial consequence for a criminal one.</w:t>
      </w:r>
    </w:p>
    <w:p>
      <w:pPr>
        <w:spacing w:after="80"/>
      </w:pPr>
    </w:p>
    <w:p>
      <w:pPr>
        <w:pStyle w:val="Heading2"/>
      </w:pPr>
      <w:r>
        <w:rPr>
          <w:b/>
          <w:bCs/>
        </w:rPr>
        <w:t xml:space="preserve">15.3 — Elderco</w:t>
      </w:r>
    </w:p>
    <w:p>
      <w:pPr>
        <w:spacing w:after="160"/>
      </w:pPr>
      <w:r>
        <w:rPr>
          <w:sz w:val="24"/>
          <w:szCs w:val="24"/>
        </w:rPr>
        <w:t xml:space="preserve">For care homes, health providers, and vulnerable-service operators convicted of negligence, manslaughter, or systematic abuse, the court may issue an Elderco order. Elderco is Utilico adapted for services where the ‘product’ is human beings who cannot be disrupted. Staff transfer under TUPE. Residents remain in place. Enhanced staffing ratios are implemented immediately. The operator’s assets are forfeited to fund improved care.</w:t>
      </w:r>
    </w:p>
    <w:p>
      <w:pPr>
        <w:spacing w:after="160"/>
      </w:pPr>
      <w:r>
        <w:rPr>
          <w:sz w:val="24"/>
          <w:szCs w:val="24"/>
        </w:rPr>
        <w:t xml:space="preserve">No resident is moved. No carer loses their job. No family is told their mother has to find a new care home because the old one was closed as punishment. The building stays open. The staff stay employed. The management that ran ‘minimum viable care’ while extracting millions goes. The care improves. The residents notice the difference.</w:t>
      </w:r>
    </w:p>
    <w:p>
      <w:pPr>
        <w:spacing w:after="80"/>
      </w:pPr>
    </w:p>
    <w:p>
      <w:pPr>
        <w:pStyle w:val="Heading2"/>
      </w:pPr>
      <w:r>
        <w:rPr>
          <w:b/>
          <w:bCs/>
        </w:rPr>
        <w:t xml:space="preserve">15.4 — Aggravated Public-Endangerment Homicide</w:t>
      </w:r>
    </w:p>
    <w:p>
      <w:pPr>
        <w:spacing w:after="160"/>
      </w:pPr>
      <w:r>
        <w:rPr>
          <w:sz w:val="24"/>
          <w:szCs w:val="24"/>
        </w:rPr>
        <w:t xml:space="preserve">BUILD will create a new offence category for vehicular killing with stacking aggravating factors: driving while disqualified, excessive speed, fleeing the scene, attempting to cover up, and prior relevant convictions. Currently, these cases are prosecuted as ‘dangerous driving’ or ‘death by dangerous driving’ — motoring offences that carry sentences wildly disproportionate to the harm caused.</w:t>
      </w:r>
    </w:p>
    <w:p>
      <w:pPr>
        <w:spacing w:after="160"/>
      </w:pPr>
      <w:r>
        <w:rPr>
          <w:sz w:val="24"/>
          <w:szCs w:val="24"/>
        </w:rPr>
        <w:t xml:space="preserve">A disqualified driver doing 58mph in a 30 zone who kills a pedestrian on a crossing and flees the scene has not committed a motoring offence. They have committed a homicide with aggravating factors. The charge, the trial, and the sentence should reflect that. Aggravated Public-Endangerment Homicide elevates these cases from the motoring framework into the homicide framework, where the sentencing range reflects the reality: a person is dead because someone chose to drive a car they were banned from driving, at a speed they knew was lethal, in a place they knew people would be.</w:t>
      </w:r>
    </w:p>
    <w:p>
      <w:pPr>
        <w:spacing w:after="80"/>
      </w:pPr>
    </w:p>
    <w:p>
      <w:pPr>
        <w:pStyle w:val="Heading2"/>
      </w:pPr>
      <w:r>
        <w:rPr>
          <w:b/>
          <w:bCs/>
        </w:rPr>
        <w:t xml:space="preserve">15.5 — The Anderson Bench</w:t>
      </w:r>
    </w:p>
    <w:p>
      <w:pPr>
        <w:spacing w:after="160"/>
      </w:pPr>
      <w:r>
        <w:rPr>
          <w:sz w:val="24"/>
          <w:szCs w:val="24"/>
        </w:rPr>
        <w:t xml:space="preserve">The full case law, principles, and sentencing precedents underlying PCAR, CHER, Utilico, Elderco, and Aggravated Public-Endangerment Homicide are contained in The Anderson Bench — a companion document to this charter comprising twenty simulated cases, fifteen guiding principles, and three corporate absorption precedents, stress-tested through adversarial media scrutiny, appellate challenge, judicial review by a sitting Crown Court judge, prosecutorial analysis by a former Senior Crown Prosecutor, and endorsed for introduction as a private members’ bill by a crossbench life peer in the House of Lords.</w:t>
      </w:r>
    </w:p>
    <w:p>
      <w:pPr>
        <w:spacing w:after="160"/>
      </w:pPr>
      <w:r>
        <w:rPr>
          <w:sz w:val="24"/>
          <w:szCs w:val="24"/>
        </w:rPr>
        <w:t xml:space="preserve">The Anderson Bench is published as a standalone document at builduk.club. It is the most thoroughly tested piece of sentencing philosophy in the BUILD UK platform.</w:t>
      </w:r>
    </w:p>
    <w:p>
      <w:pPr>
        <w:pBdr>
          <w:left w:val="single" w:color="444444" w:sz="6" w:space="8"/>
        </w:pBdr>
        <w:spacing w:after="200"/>
        <w:ind w:left="720" w:right="720"/>
      </w:pPr>
      <w:r>
        <w:rPr>
          <w:i/>
          <w:iCs/>
          <w:color w:val="333333"/>
          <w:sz w:val="24"/>
          <w:szCs w:val="24"/>
        </w:rPr>
        <w:t xml:space="preserve">The law is the map. Morality is the compass. We don’t blame the people inside broken systems. We fix the systems and free the people.</w:t>
      </w:r>
    </w:p>
    <w:p>
      <w:r>
        <w:br w:type="page"/>
      </w:r>
    </w:p>
    <w:p>
      <w:pPr>
        <w:pStyle w:val="Heading1"/>
      </w:pPr>
      <w:r>
        <w:rPr>
          <w:b/>
          <w:bCs/>
        </w:rPr>
        <w:t xml:space="preserve">The Justice BUILD Will Deliver</w:t>
      </w:r>
    </w:p>
    <w:p>
      <w:pPr>
        <w:spacing w:after="80"/>
      </w:pPr>
    </w:p>
    <w:p>
      <w:pPr>
        <w:spacing w:after="160"/>
      </w:pPr>
      <w:r>
        <w:rPr>
          <w:sz w:val="24"/>
          <w:szCs w:val="24"/>
        </w:rPr>
        <w:t xml:space="preserve">These fifteen pillars form a single, integrated reform of policing, justice, and accountability. Every pillar protects the public, respects the individual, holds the system accountable, and restores the person who was harmed.</w:t>
      </w:r>
    </w:p>
    <w:p>
      <w:pPr>
        <w:spacing w:after="80"/>
      </w:pPr>
    </w:p>
    <w:p>
      <w:pPr>
        <w:spacing w:after="160"/>
      </w:pPr>
      <w:r>
        <w:rPr>
          <w:sz w:val="24"/>
          <w:szCs w:val="24"/>
        </w:rPr>
        <w:t xml:space="preserve">Police stations are open, staffed, and accessible. Beat officers know the streets. Custody is limited to 6 hours unless formally charged. Handcuffs are a last resort, not a default. Food in custody is real food. Body cameras run continuously and footage is kept for 12 months minimum. Officers cannot turn them off.</w:t>
      </w:r>
    </w:p>
    <w:p>
      <w:pPr>
        <w:spacing w:after="160"/>
      </w:pPr>
      <w:r>
        <w:rPr>
          <w:sz w:val="24"/>
          <w:szCs w:val="24"/>
        </w:rPr>
        <w:t xml:space="preserve">Innocent people’s DNA is deleted automatically. Secret risk registers for unconvicted individuals are banned. One standard of justice applies to everyone — no political policing, no two-tier enforcement, equal sentencing regardless of gender or status. Serious offenders serve their full sentence with no early release.</w:t>
      </w:r>
    </w:p>
    <w:p>
      <w:pPr>
        <w:spacing w:after="160"/>
      </w:pPr>
      <w:r>
        <w:rPr>
          <w:sz w:val="24"/>
          <w:szCs w:val="24"/>
        </w:rPr>
        <w:t xml:space="preserve">Prisons are clean, safe, and dignified but not comfortable. Prisoners eat real food, work for a fair stipend, and maintain family connections through supervised day release where risk allows. Consensual relationships between adults are permitted.</w:t>
      </w:r>
    </w:p>
    <w:p>
      <w:pPr>
        <w:spacing w:after="160"/>
      </w:pPr>
      <w:r>
        <w:rPr>
          <w:sz w:val="24"/>
          <w:szCs w:val="24"/>
        </w:rPr>
        <w:t xml:space="preserve">Police officers are freed from paperwork by speech-to-text technology and remote interview processing. Millions of patrol hours are recovered without hiring a single additional officer. Legal aid provides genuine representation. The streets are policed by officers who are present, visible, and accountable.</w:t>
      </w:r>
    </w:p>
    <w:p>
      <w:pPr>
        <w:spacing w:after="160"/>
      </w:pPr>
      <w:r>
        <w:rPr>
          <w:sz w:val="24"/>
          <w:szCs w:val="24"/>
        </w:rPr>
        <w:t xml:space="preserve">And when someone stands in the dock, the court sees the whole picture. PCAR: who is this person, what caused this, what sentence fits, and what restores the victim. Where the state caused the offence, the state is held accountable — joined to the proceedings, compelled to disclose, and ordered to pay. The person the system failed is not punished for the system’s failure. The victim’s support continues until the victim is ready for it to end. And the offender, where health or mental health drove the crime, receives support alongside accountability.</w:t>
      </w:r>
    </w:p>
    <w:p>
      <w:pPr>
        <w:spacing w:after="160"/>
      </w:pPr>
      <w:r>
        <w:rPr>
          <w:sz w:val="24"/>
          <w:szCs w:val="24"/>
        </w:rPr>
        <w:t xml:space="preserve">When a corporation kills, CHER names the harm and the people who caused it. Utilico absorbs the criminal company, strips the leadership, and preserves the workforce. Elderco does the same for care homes without moving a single resident. Aggravated Public-Endangerment Homicide puts vehicular killers in the homicide framework where they belong. The Anderson Bench provides the case law, the principles, and the proof that this system works.</w:t>
      </w:r>
    </w:p>
    <w:p>
      <w:pPr>
        <w:spacing w:after="80"/>
      </w:pPr>
    </w:p>
    <w:p>
      <w:pPr>
        <w:pBdr>
          <w:left w:val="single" w:color="444444" w:sz="6" w:space="8"/>
        </w:pBdr>
        <w:spacing w:after="200"/>
        <w:ind w:left="720" w:right="720"/>
      </w:pPr>
      <w:r>
        <w:rPr>
          <w:i/>
          <w:iCs/>
          <w:color w:val="333333"/>
          <w:sz w:val="24"/>
          <w:szCs w:val="24"/>
        </w:rPr>
        <w:t xml:space="preserve">This policy isn’t theory. It is lived. I was arrested for chalk. I was arrested for buying a sandwich. I was held for 15 hours and paraded in handcuffs through a city centre. Nobody was held accountable. Nobody admitted fault. BUILD will make sure that can never happen again — to anyone.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Policing &amp; Justice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Policing &amp; Justice</dc:title>
  <dc:creator>BUILD UK</dc:creator>
  <dc:description>Police reform, custody limits, body cameras, prison reform, one standard of justice, legal aid</dc:description>
  <cp:lastModifiedBy>Un-named</cp:lastModifiedBy>
  <cp:revision>1</cp:revision>
  <dcterms:created xsi:type="dcterms:W3CDTF">2026-08-05T07:23:25.105Z</dcterms:created>
  <dcterms:modified xsi:type="dcterms:W3CDTF">2026-08-05T07:23:25.116Z</dcterms:modified>
</cp:coreProperties>
</file>

<file path=docProps/custom.xml><?xml version="1.0" encoding="utf-8"?>
<Properties xmlns="http://schemas.openxmlformats.org/officeDocument/2006/custom-properties" xmlns:vt="http://schemas.openxmlformats.org/officeDocument/2006/docPropsVTypes"/>
</file>